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ADE55" w14:textId="77777777" w:rsidR="00866AA6" w:rsidRDefault="00866AA6">
      <w:pPr>
        <w:rPr>
          <w:rFonts w:ascii="Arial" w:hAnsi="Arial" w:cs="Arial"/>
          <w:b/>
        </w:rPr>
      </w:pPr>
    </w:p>
    <w:p w14:paraId="24D05273" w14:textId="77777777" w:rsidR="00B52C38" w:rsidRPr="00B0259D" w:rsidRDefault="00B52C38" w:rsidP="00B52C38">
      <w:pPr>
        <w:rPr>
          <w:b/>
          <w:sz w:val="26"/>
          <w:szCs w:val="26"/>
        </w:rPr>
      </w:pPr>
    </w:p>
    <w:p w14:paraId="66F7CB02" w14:textId="77777777" w:rsidR="00B52C38" w:rsidRPr="00B0259D" w:rsidRDefault="00B52C38" w:rsidP="00B52C38">
      <w:pPr>
        <w:jc w:val="center"/>
        <w:rPr>
          <w:b/>
          <w:sz w:val="26"/>
          <w:szCs w:val="26"/>
        </w:rPr>
      </w:pPr>
      <w:r>
        <w:rPr>
          <w:b/>
          <w:noProof/>
          <w:sz w:val="26"/>
          <w:szCs w:val="26"/>
        </w:rPr>
        <w:drawing>
          <wp:inline distT="0" distB="0" distL="0" distR="0" wp14:anchorId="22BA054F" wp14:editId="586ACC74">
            <wp:extent cx="1820671" cy="870508"/>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31056" cy="875473"/>
                    </a:xfrm>
                    <a:prstGeom prst="rect">
                      <a:avLst/>
                    </a:prstGeom>
                    <a:noFill/>
                    <a:ln w="9525">
                      <a:noFill/>
                      <a:miter lim="800000"/>
                      <a:headEnd/>
                      <a:tailEnd/>
                    </a:ln>
                  </pic:spPr>
                </pic:pic>
              </a:graphicData>
            </a:graphic>
          </wp:inline>
        </w:drawing>
      </w:r>
    </w:p>
    <w:p w14:paraId="4B3405A2" w14:textId="77777777" w:rsidR="00B52C38" w:rsidRPr="00B0259D" w:rsidRDefault="00B52C38" w:rsidP="00B52C38">
      <w:pPr>
        <w:rPr>
          <w:b/>
          <w:sz w:val="26"/>
          <w:szCs w:val="26"/>
        </w:rPr>
      </w:pPr>
    </w:p>
    <w:p w14:paraId="25C90600" w14:textId="77777777" w:rsidR="00B52C38" w:rsidRPr="00B0259D" w:rsidRDefault="00B52C38" w:rsidP="00B52C38">
      <w:pPr>
        <w:rPr>
          <w:b/>
          <w:sz w:val="26"/>
          <w:szCs w:val="26"/>
        </w:rPr>
      </w:pPr>
    </w:p>
    <w:p w14:paraId="2BF7E1ED" w14:textId="77777777" w:rsidR="00B52C38" w:rsidRPr="00B0259D" w:rsidRDefault="00B52C38" w:rsidP="00B52C38">
      <w:pPr>
        <w:rPr>
          <w:b/>
          <w:sz w:val="26"/>
          <w:szCs w:val="26"/>
        </w:rPr>
      </w:pPr>
    </w:p>
    <w:p w14:paraId="5FA31637" w14:textId="77777777" w:rsidR="00B52C38" w:rsidRPr="00B0259D" w:rsidRDefault="00B52C38" w:rsidP="00B52C38">
      <w:pPr>
        <w:rPr>
          <w:b/>
          <w:sz w:val="26"/>
          <w:szCs w:val="26"/>
        </w:rPr>
      </w:pPr>
    </w:p>
    <w:p w14:paraId="0E982303" w14:textId="77777777" w:rsidR="00B52C38" w:rsidRPr="00B0259D" w:rsidRDefault="00B52C38" w:rsidP="00B52C38">
      <w:pPr>
        <w:rPr>
          <w:b/>
          <w:sz w:val="26"/>
          <w:szCs w:val="26"/>
        </w:rPr>
      </w:pPr>
    </w:p>
    <w:p w14:paraId="36747839" w14:textId="77777777" w:rsidR="00CD0C64" w:rsidRDefault="00CD0C64" w:rsidP="00B52C38">
      <w:pPr>
        <w:jc w:val="center"/>
        <w:rPr>
          <w:rFonts w:ascii="Arial" w:hAnsi="Arial" w:cs="Arial"/>
          <w:b/>
          <w:color w:val="002D5B"/>
          <w:sz w:val="72"/>
          <w:szCs w:val="72"/>
        </w:rPr>
      </w:pPr>
    </w:p>
    <w:p w14:paraId="6572F0E6" w14:textId="77777777" w:rsidR="00CD0C64" w:rsidRDefault="00CD0C64" w:rsidP="00B52C38">
      <w:pPr>
        <w:jc w:val="center"/>
        <w:rPr>
          <w:rFonts w:ascii="Arial" w:hAnsi="Arial" w:cs="Arial"/>
          <w:b/>
          <w:color w:val="002D5B"/>
          <w:sz w:val="72"/>
          <w:szCs w:val="72"/>
        </w:rPr>
      </w:pPr>
    </w:p>
    <w:p w14:paraId="7D83D432" w14:textId="2D3500F8" w:rsidR="00B52C38" w:rsidRPr="00CD0C64" w:rsidRDefault="00CD0C64" w:rsidP="00B52C38">
      <w:pPr>
        <w:jc w:val="center"/>
        <w:rPr>
          <w:rFonts w:ascii="Arial" w:hAnsi="Arial" w:cs="Arial"/>
          <w:b/>
          <w:color w:val="002D5B"/>
          <w:sz w:val="72"/>
          <w:szCs w:val="72"/>
        </w:rPr>
      </w:pPr>
      <w:r>
        <w:rPr>
          <w:rFonts w:ascii="Arial" w:hAnsi="Arial" w:cs="Arial"/>
          <w:b/>
          <w:color w:val="002D5B"/>
          <w:sz w:val="72"/>
          <w:szCs w:val="72"/>
        </w:rPr>
        <w:t>N</w:t>
      </w:r>
      <w:r w:rsidR="00B52C38" w:rsidRPr="00CD0C64">
        <w:rPr>
          <w:rFonts w:ascii="Arial" w:hAnsi="Arial" w:cs="Arial"/>
          <w:b/>
          <w:color w:val="002D5B"/>
          <w:sz w:val="72"/>
          <w:szCs w:val="72"/>
        </w:rPr>
        <w:t xml:space="preserve">IJAC </w:t>
      </w:r>
    </w:p>
    <w:p w14:paraId="45708583" w14:textId="77777777" w:rsidR="00B52C38" w:rsidRPr="00680F93" w:rsidRDefault="00B52C38" w:rsidP="00B52C38">
      <w:pPr>
        <w:jc w:val="center"/>
        <w:rPr>
          <w:rFonts w:ascii="Arial" w:hAnsi="Arial" w:cs="Arial"/>
          <w:b/>
          <w:sz w:val="72"/>
          <w:szCs w:val="72"/>
        </w:rPr>
      </w:pPr>
    </w:p>
    <w:p w14:paraId="08BEDC78" w14:textId="77777777" w:rsidR="00B52C38" w:rsidRPr="00CD0C64" w:rsidRDefault="00B52C38" w:rsidP="00B52C38">
      <w:pPr>
        <w:jc w:val="center"/>
        <w:rPr>
          <w:rFonts w:ascii="Arial" w:hAnsi="Arial" w:cs="Arial"/>
          <w:b/>
          <w:color w:val="BD5B15"/>
          <w:sz w:val="72"/>
          <w:szCs w:val="72"/>
        </w:rPr>
      </w:pPr>
      <w:r w:rsidRPr="00CD0C64">
        <w:rPr>
          <w:rFonts w:ascii="Arial" w:hAnsi="Arial" w:cs="Arial"/>
          <w:b/>
          <w:color w:val="BD5B15"/>
          <w:sz w:val="72"/>
          <w:szCs w:val="72"/>
        </w:rPr>
        <w:t xml:space="preserve">Freedom of Information </w:t>
      </w:r>
    </w:p>
    <w:p w14:paraId="1D1C8DF6" w14:textId="77777777" w:rsidR="00B52C38" w:rsidRPr="00CD0C64" w:rsidRDefault="00B52C38" w:rsidP="00B52C38">
      <w:pPr>
        <w:jc w:val="center"/>
        <w:rPr>
          <w:rFonts w:ascii="Arial" w:hAnsi="Arial" w:cs="Arial"/>
          <w:b/>
          <w:color w:val="BD5B15"/>
          <w:sz w:val="72"/>
          <w:szCs w:val="72"/>
        </w:rPr>
      </w:pPr>
    </w:p>
    <w:p w14:paraId="6B7EC9D7" w14:textId="77777777" w:rsidR="00B52C38" w:rsidRPr="00CD0C64" w:rsidRDefault="00B52C38" w:rsidP="00B52C38">
      <w:pPr>
        <w:jc w:val="center"/>
        <w:rPr>
          <w:rFonts w:ascii="Arial" w:hAnsi="Arial" w:cs="Arial"/>
          <w:b/>
          <w:color w:val="BD5B15"/>
          <w:sz w:val="72"/>
          <w:szCs w:val="72"/>
        </w:rPr>
      </w:pPr>
      <w:r w:rsidRPr="00CD0C64">
        <w:rPr>
          <w:rFonts w:ascii="Arial" w:hAnsi="Arial" w:cs="Arial"/>
          <w:b/>
          <w:color w:val="BD5B15"/>
          <w:sz w:val="72"/>
          <w:szCs w:val="72"/>
        </w:rPr>
        <w:t>Publication Scheme</w:t>
      </w:r>
    </w:p>
    <w:p w14:paraId="19488ABB" w14:textId="77777777" w:rsidR="00CD0C64" w:rsidRDefault="00CD0C64" w:rsidP="00B52C38">
      <w:pPr>
        <w:jc w:val="center"/>
        <w:rPr>
          <w:rFonts w:ascii="Arial" w:hAnsi="Arial" w:cs="Arial"/>
          <w:b/>
          <w:sz w:val="72"/>
          <w:szCs w:val="72"/>
        </w:rPr>
      </w:pPr>
    </w:p>
    <w:p w14:paraId="635C2F7E" w14:textId="77777777" w:rsidR="00CD0C64" w:rsidRDefault="00CD0C64" w:rsidP="00B52C38">
      <w:pPr>
        <w:jc w:val="center"/>
        <w:rPr>
          <w:rFonts w:ascii="Arial" w:hAnsi="Arial" w:cs="Arial"/>
          <w:b/>
          <w:sz w:val="72"/>
          <w:szCs w:val="72"/>
        </w:rPr>
      </w:pPr>
    </w:p>
    <w:p w14:paraId="53D0D189" w14:textId="77777777" w:rsidR="00CD0C64" w:rsidRDefault="00CD0C64" w:rsidP="00B52C38">
      <w:pPr>
        <w:jc w:val="center"/>
        <w:rPr>
          <w:rFonts w:ascii="Arial" w:hAnsi="Arial" w:cs="Arial"/>
          <w:b/>
          <w:sz w:val="72"/>
          <w:szCs w:val="72"/>
        </w:rPr>
      </w:pPr>
    </w:p>
    <w:p w14:paraId="53F11C93" w14:textId="77777777" w:rsidR="00CD0C64" w:rsidRDefault="00CD0C64" w:rsidP="00B52C38">
      <w:pPr>
        <w:jc w:val="center"/>
        <w:rPr>
          <w:rFonts w:ascii="Arial" w:hAnsi="Arial" w:cs="Arial"/>
          <w:b/>
          <w:sz w:val="72"/>
          <w:szCs w:val="72"/>
        </w:rPr>
      </w:pPr>
    </w:p>
    <w:p w14:paraId="5829C0B2" w14:textId="77777777" w:rsidR="00CD0C64" w:rsidRDefault="00CD0C64" w:rsidP="00CD0C64">
      <w:pPr>
        <w:rPr>
          <w:rFonts w:ascii="Arial" w:hAnsi="Arial" w:cs="Arial"/>
          <w:b/>
          <w:color w:val="002D5B"/>
          <w:sz w:val="28"/>
          <w:szCs w:val="28"/>
        </w:rPr>
      </w:pPr>
    </w:p>
    <w:p w14:paraId="4311B84A" w14:textId="77777777" w:rsidR="00CD0C64" w:rsidRDefault="00CD0C64" w:rsidP="00CD0C64">
      <w:pPr>
        <w:rPr>
          <w:rFonts w:ascii="Arial" w:hAnsi="Arial" w:cs="Arial"/>
          <w:b/>
          <w:color w:val="002D5B"/>
          <w:sz w:val="28"/>
          <w:szCs w:val="28"/>
        </w:rPr>
      </w:pPr>
    </w:p>
    <w:p w14:paraId="03C0EF77" w14:textId="77777777" w:rsidR="00CD0C64" w:rsidRDefault="00CD0C64" w:rsidP="00CD0C64">
      <w:pPr>
        <w:rPr>
          <w:rFonts w:ascii="Arial" w:hAnsi="Arial" w:cs="Arial"/>
          <w:b/>
          <w:color w:val="002D5B"/>
          <w:sz w:val="28"/>
          <w:szCs w:val="28"/>
        </w:rPr>
      </w:pPr>
    </w:p>
    <w:p w14:paraId="2FCE7267" w14:textId="77777777" w:rsidR="00CD0C64" w:rsidRDefault="00CD0C64" w:rsidP="00CD0C64">
      <w:pPr>
        <w:rPr>
          <w:rFonts w:ascii="Arial" w:hAnsi="Arial" w:cs="Arial"/>
          <w:b/>
          <w:color w:val="002D5B"/>
          <w:sz w:val="28"/>
          <w:szCs w:val="28"/>
        </w:rPr>
      </w:pPr>
    </w:p>
    <w:p w14:paraId="27FEE1F4" w14:textId="77777777" w:rsidR="00CD0C64" w:rsidRDefault="00CD0C64" w:rsidP="00CD0C64">
      <w:pPr>
        <w:rPr>
          <w:rFonts w:ascii="Arial" w:hAnsi="Arial" w:cs="Arial"/>
          <w:b/>
          <w:color w:val="002D5B"/>
          <w:sz w:val="28"/>
          <w:szCs w:val="28"/>
        </w:rPr>
      </w:pPr>
    </w:p>
    <w:p w14:paraId="278D7F9F" w14:textId="2417662F" w:rsidR="00B52C38" w:rsidRPr="002029E9" w:rsidRDefault="00CD0C64" w:rsidP="00CD0C64">
      <w:pPr>
        <w:rPr>
          <w:rFonts w:asciiTheme="minorHAnsi" w:hAnsiTheme="minorHAnsi"/>
          <w:sz w:val="26"/>
          <w:szCs w:val="26"/>
        </w:rPr>
      </w:pPr>
      <w:r w:rsidRPr="00CD0C64">
        <w:rPr>
          <w:rFonts w:ascii="Arial" w:hAnsi="Arial" w:cs="Arial"/>
          <w:b/>
          <w:color w:val="002D5B"/>
          <w:sz w:val="28"/>
          <w:szCs w:val="28"/>
        </w:rPr>
        <w:t xml:space="preserve">Reviewed </w:t>
      </w:r>
      <w:r w:rsidR="00453D3D">
        <w:rPr>
          <w:rFonts w:ascii="Arial" w:hAnsi="Arial" w:cs="Arial"/>
          <w:b/>
          <w:color w:val="002D5B"/>
          <w:sz w:val="28"/>
          <w:szCs w:val="28"/>
        </w:rPr>
        <w:t>September</w:t>
      </w:r>
      <w:r w:rsidR="00453D3D" w:rsidRPr="00CD0C64">
        <w:rPr>
          <w:rFonts w:ascii="Arial" w:hAnsi="Arial" w:cs="Arial"/>
          <w:b/>
          <w:color w:val="002D5B"/>
          <w:sz w:val="28"/>
          <w:szCs w:val="28"/>
        </w:rPr>
        <w:t xml:space="preserve"> </w:t>
      </w:r>
      <w:r w:rsidRPr="00CD0C64">
        <w:rPr>
          <w:rFonts w:ascii="Arial" w:hAnsi="Arial" w:cs="Arial"/>
          <w:b/>
          <w:color w:val="002D5B"/>
          <w:sz w:val="28"/>
          <w:szCs w:val="28"/>
        </w:rPr>
        <w:t>2024</w:t>
      </w:r>
      <w:r w:rsidR="00B52C38" w:rsidRPr="00B0259D">
        <w:rPr>
          <w:rFonts w:asciiTheme="minorHAnsi" w:hAnsiTheme="minorHAnsi"/>
          <w:b/>
          <w:sz w:val="26"/>
          <w:szCs w:val="26"/>
        </w:rPr>
        <w:br w:type="page"/>
      </w:r>
    </w:p>
    <w:p w14:paraId="7A65ACA2" w14:textId="77777777" w:rsidR="00206F6A" w:rsidRPr="00CD0C64" w:rsidRDefault="00B52C38" w:rsidP="00B03C0F">
      <w:pPr>
        <w:spacing w:line="360" w:lineRule="auto"/>
        <w:ind w:left="357" w:hanging="357"/>
        <w:rPr>
          <w:rFonts w:ascii="Arial" w:hAnsi="Arial" w:cs="Arial"/>
          <w:b/>
          <w:color w:val="002D5B"/>
        </w:rPr>
      </w:pPr>
      <w:r w:rsidRPr="00CD0C64">
        <w:rPr>
          <w:rFonts w:ascii="Arial" w:hAnsi="Arial" w:cs="Arial"/>
          <w:b/>
          <w:color w:val="002D5B"/>
        </w:rPr>
        <w:lastRenderedPageBreak/>
        <w:t xml:space="preserve">1. </w:t>
      </w:r>
      <w:r w:rsidRPr="00CD0C64">
        <w:rPr>
          <w:rFonts w:ascii="Arial" w:hAnsi="Arial" w:cs="Arial"/>
          <w:b/>
          <w:color w:val="002D5B"/>
        </w:rPr>
        <w:tab/>
        <w:t>Background</w:t>
      </w:r>
    </w:p>
    <w:p w14:paraId="299CB3B2" w14:textId="77777777" w:rsidR="00206F6A" w:rsidRDefault="00206F6A" w:rsidP="00206F6A">
      <w:pPr>
        <w:pStyle w:val="PlainText"/>
        <w:numPr>
          <w:ilvl w:val="1"/>
          <w:numId w:val="34"/>
        </w:numPr>
        <w:spacing w:before="0" w:beforeAutospacing="0" w:after="0" w:afterAutospacing="0" w:line="360" w:lineRule="auto"/>
        <w:ind w:left="709" w:hanging="709"/>
        <w:rPr>
          <w:rFonts w:ascii="Arial" w:hAnsi="Arial" w:cs="Arial"/>
        </w:rPr>
      </w:pPr>
      <w:r w:rsidRPr="00283283">
        <w:rPr>
          <w:rFonts w:ascii="Arial" w:hAnsi="Arial" w:cs="Arial"/>
        </w:rPr>
        <w:t xml:space="preserve">Northern Ireland Judicial </w:t>
      </w:r>
      <w:r>
        <w:rPr>
          <w:rFonts w:ascii="Arial" w:hAnsi="Arial" w:cs="Arial"/>
        </w:rPr>
        <w:t>Appointments Commission (NIJAC)</w:t>
      </w:r>
      <w:r w:rsidRPr="00283283">
        <w:rPr>
          <w:rFonts w:ascii="Arial" w:hAnsi="Arial" w:cs="Arial"/>
        </w:rPr>
        <w:t xml:space="preserve"> was established on 15 June 2005 as an independent public body under the Justice (Northern Ireland) Act 2002</w:t>
      </w:r>
      <w:r>
        <w:rPr>
          <w:rFonts w:ascii="Arial" w:hAnsi="Arial" w:cs="Arial"/>
        </w:rPr>
        <w:t xml:space="preserve"> </w:t>
      </w:r>
      <w:r w:rsidRPr="00283283">
        <w:rPr>
          <w:rFonts w:ascii="Arial" w:hAnsi="Arial" w:cs="Arial"/>
        </w:rPr>
        <w:t>as amended. Upon the devolution of justice on the 12 April 2010 the Northern Ireland Act 2009 (the 2009 Act) extended NIJAC’s statutory duties.</w:t>
      </w:r>
    </w:p>
    <w:p w14:paraId="7BA67C6B" w14:textId="77777777" w:rsidR="00206F6A" w:rsidRPr="00283283" w:rsidRDefault="00206F6A" w:rsidP="00206F6A">
      <w:pPr>
        <w:pStyle w:val="PlainText"/>
        <w:spacing w:before="0" w:beforeAutospacing="0" w:after="0" w:afterAutospacing="0" w:line="360" w:lineRule="auto"/>
        <w:ind w:left="709" w:hanging="709"/>
        <w:rPr>
          <w:rFonts w:ascii="Arial" w:hAnsi="Arial" w:cs="Arial"/>
        </w:rPr>
      </w:pPr>
    </w:p>
    <w:p w14:paraId="3CFFFD06" w14:textId="77777777" w:rsidR="00206F6A" w:rsidRDefault="00206F6A" w:rsidP="00206F6A">
      <w:pPr>
        <w:pStyle w:val="PlainText"/>
        <w:numPr>
          <w:ilvl w:val="1"/>
          <w:numId w:val="34"/>
        </w:numPr>
        <w:spacing w:before="0" w:beforeAutospacing="0" w:after="0" w:afterAutospacing="0" w:line="360" w:lineRule="auto"/>
        <w:ind w:left="709" w:hanging="709"/>
        <w:rPr>
          <w:rFonts w:ascii="Arial" w:hAnsi="Arial" w:cs="Arial"/>
        </w:rPr>
      </w:pPr>
      <w:r w:rsidRPr="00283283">
        <w:rPr>
          <w:rFonts w:ascii="Arial" w:hAnsi="Arial" w:cs="Arial"/>
        </w:rPr>
        <w:t>NIJAC is an appointing body, selecting and appointing to non-crown judicial offices in various Courts and Tribunals throughout Northern Ireland. NIJAC select and make recommendations for crown appointments up to and including High Court Judge.</w:t>
      </w:r>
    </w:p>
    <w:p w14:paraId="439A953D" w14:textId="77777777" w:rsidR="00206F6A" w:rsidRPr="00283283" w:rsidRDefault="00206F6A" w:rsidP="00206F6A">
      <w:pPr>
        <w:pStyle w:val="PlainText"/>
        <w:spacing w:before="0" w:beforeAutospacing="0" w:after="0" w:afterAutospacing="0" w:line="360" w:lineRule="auto"/>
        <w:ind w:left="709" w:hanging="709"/>
        <w:rPr>
          <w:rFonts w:ascii="Arial" w:hAnsi="Arial" w:cs="Arial"/>
        </w:rPr>
      </w:pPr>
    </w:p>
    <w:p w14:paraId="1C5C18A2" w14:textId="77777777" w:rsidR="00206F6A" w:rsidRDefault="00206F6A" w:rsidP="00206F6A">
      <w:pPr>
        <w:pStyle w:val="PlainText"/>
        <w:numPr>
          <w:ilvl w:val="1"/>
          <w:numId w:val="34"/>
        </w:numPr>
        <w:spacing w:before="0" w:beforeAutospacing="0" w:after="0" w:afterAutospacing="0" w:line="360" w:lineRule="auto"/>
        <w:ind w:left="709" w:hanging="709"/>
        <w:rPr>
          <w:rFonts w:ascii="Arial" w:hAnsi="Arial" w:cs="Arial"/>
        </w:rPr>
      </w:pPr>
      <w:r w:rsidRPr="00283283">
        <w:rPr>
          <w:rFonts w:ascii="Arial" w:hAnsi="Arial" w:cs="Arial"/>
        </w:rPr>
        <w:t xml:space="preserve">NIJAC selects, recommends and appoints on merit, through fair and open competition and by selecting from the widest possible range of eligible applicants. Its work encompasses the principles of:- </w:t>
      </w:r>
    </w:p>
    <w:p w14:paraId="1429BFAB" w14:textId="77777777" w:rsidR="00206F6A" w:rsidRPr="00283283" w:rsidRDefault="00206F6A" w:rsidP="00206F6A">
      <w:pPr>
        <w:pStyle w:val="PlainText"/>
        <w:spacing w:before="0" w:beforeAutospacing="0" w:after="0" w:afterAutospacing="0" w:line="360" w:lineRule="auto"/>
        <w:ind w:right="-180"/>
        <w:rPr>
          <w:rFonts w:ascii="Arial" w:hAnsi="Arial" w:cs="Arial"/>
        </w:rPr>
      </w:pPr>
    </w:p>
    <w:p w14:paraId="20AABB2B" w14:textId="77777777" w:rsidR="00206F6A" w:rsidRPr="00283283" w:rsidRDefault="00206F6A" w:rsidP="00206F6A">
      <w:pPr>
        <w:pStyle w:val="PlainText"/>
        <w:numPr>
          <w:ilvl w:val="0"/>
          <w:numId w:val="33"/>
        </w:numPr>
        <w:tabs>
          <w:tab w:val="num" w:pos="851"/>
        </w:tabs>
        <w:spacing w:before="0" w:beforeAutospacing="0" w:after="0" w:afterAutospacing="0" w:line="360" w:lineRule="auto"/>
        <w:ind w:left="1134" w:right="-181" w:hanging="567"/>
        <w:rPr>
          <w:rFonts w:ascii="Arial" w:hAnsi="Arial" w:cs="Arial"/>
        </w:rPr>
      </w:pPr>
      <w:r w:rsidRPr="00283283">
        <w:rPr>
          <w:rFonts w:ascii="Arial" w:hAnsi="Arial" w:cs="Arial"/>
        </w:rPr>
        <w:t>Merit;</w:t>
      </w:r>
    </w:p>
    <w:p w14:paraId="50DB355D" w14:textId="77777777" w:rsidR="00206F6A" w:rsidRPr="00283283" w:rsidRDefault="00206F6A" w:rsidP="00206F6A">
      <w:pPr>
        <w:pStyle w:val="PlainText"/>
        <w:numPr>
          <w:ilvl w:val="0"/>
          <w:numId w:val="33"/>
        </w:numPr>
        <w:tabs>
          <w:tab w:val="num" w:pos="851"/>
        </w:tabs>
        <w:spacing w:before="0" w:beforeAutospacing="0" w:after="0" w:afterAutospacing="0" w:line="360" w:lineRule="auto"/>
        <w:ind w:left="1134" w:right="-181" w:hanging="567"/>
        <w:rPr>
          <w:rFonts w:ascii="Arial" w:hAnsi="Arial" w:cs="Arial"/>
        </w:rPr>
      </w:pPr>
      <w:r w:rsidRPr="00283283">
        <w:rPr>
          <w:rFonts w:ascii="Arial" w:hAnsi="Arial" w:cs="Arial"/>
        </w:rPr>
        <w:t>Independence;</w:t>
      </w:r>
    </w:p>
    <w:p w14:paraId="049B1B56" w14:textId="77777777" w:rsidR="00206F6A" w:rsidRPr="00283283" w:rsidRDefault="00206F6A" w:rsidP="00206F6A">
      <w:pPr>
        <w:pStyle w:val="PlainText"/>
        <w:numPr>
          <w:ilvl w:val="0"/>
          <w:numId w:val="33"/>
        </w:numPr>
        <w:tabs>
          <w:tab w:val="num" w:pos="851"/>
        </w:tabs>
        <w:spacing w:before="0" w:beforeAutospacing="0" w:after="0" w:afterAutospacing="0" w:line="360" w:lineRule="auto"/>
        <w:ind w:left="1134" w:right="-181" w:hanging="567"/>
        <w:rPr>
          <w:rFonts w:ascii="Arial" w:hAnsi="Arial" w:cs="Arial"/>
        </w:rPr>
      </w:pPr>
      <w:r w:rsidRPr="00283283">
        <w:rPr>
          <w:rFonts w:ascii="Arial" w:hAnsi="Arial" w:cs="Arial"/>
        </w:rPr>
        <w:t>Diversity;</w:t>
      </w:r>
    </w:p>
    <w:p w14:paraId="4D7470F5" w14:textId="77777777" w:rsidR="00206F6A" w:rsidRPr="00283283" w:rsidRDefault="00206F6A" w:rsidP="00206F6A">
      <w:pPr>
        <w:pStyle w:val="PlainText"/>
        <w:numPr>
          <w:ilvl w:val="0"/>
          <w:numId w:val="33"/>
        </w:numPr>
        <w:tabs>
          <w:tab w:val="num" w:pos="851"/>
        </w:tabs>
        <w:spacing w:before="0" w:beforeAutospacing="0" w:after="0" w:afterAutospacing="0" w:line="360" w:lineRule="auto"/>
        <w:ind w:left="1134" w:right="-181" w:hanging="567"/>
        <w:rPr>
          <w:rFonts w:ascii="Arial" w:hAnsi="Arial" w:cs="Arial"/>
        </w:rPr>
      </w:pPr>
      <w:r w:rsidRPr="00283283">
        <w:rPr>
          <w:rFonts w:ascii="Arial" w:hAnsi="Arial" w:cs="Arial"/>
        </w:rPr>
        <w:t>Fairness;</w:t>
      </w:r>
    </w:p>
    <w:p w14:paraId="071E421F" w14:textId="77777777" w:rsidR="00206F6A" w:rsidRPr="00283283" w:rsidRDefault="00206F6A" w:rsidP="00206F6A">
      <w:pPr>
        <w:pStyle w:val="PlainText"/>
        <w:numPr>
          <w:ilvl w:val="0"/>
          <w:numId w:val="33"/>
        </w:numPr>
        <w:tabs>
          <w:tab w:val="num" w:pos="851"/>
        </w:tabs>
        <w:spacing w:before="0" w:beforeAutospacing="0" w:after="0" w:afterAutospacing="0" w:line="360" w:lineRule="auto"/>
        <w:ind w:left="1134" w:right="-181" w:hanging="567"/>
        <w:rPr>
          <w:rFonts w:ascii="Arial" w:hAnsi="Arial" w:cs="Arial"/>
        </w:rPr>
      </w:pPr>
      <w:r w:rsidRPr="00283283">
        <w:rPr>
          <w:rFonts w:ascii="Arial" w:hAnsi="Arial" w:cs="Arial"/>
        </w:rPr>
        <w:t>Transparency;</w:t>
      </w:r>
    </w:p>
    <w:p w14:paraId="2EDB4DF2" w14:textId="77777777" w:rsidR="00206F6A" w:rsidRPr="00283283" w:rsidRDefault="00206F6A" w:rsidP="00206F6A">
      <w:pPr>
        <w:pStyle w:val="PlainText"/>
        <w:numPr>
          <w:ilvl w:val="0"/>
          <w:numId w:val="33"/>
        </w:numPr>
        <w:tabs>
          <w:tab w:val="num" w:pos="851"/>
        </w:tabs>
        <w:spacing w:before="0" w:beforeAutospacing="0" w:after="0" w:afterAutospacing="0" w:line="360" w:lineRule="auto"/>
        <w:ind w:left="1134" w:right="-181" w:hanging="567"/>
        <w:rPr>
          <w:rFonts w:ascii="Arial" w:hAnsi="Arial" w:cs="Arial"/>
        </w:rPr>
      </w:pPr>
      <w:r w:rsidRPr="00283283">
        <w:rPr>
          <w:rFonts w:ascii="Arial" w:hAnsi="Arial" w:cs="Arial"/>
        </w:rPr>
        <w:t xml:space="preserve">Accountability;  </w:t>
      </w:r>
    </w:p>
    <w:p w14:paraId="2E49F69C" w14:textId="77777777" w:rsidR="00206F6A" w:rsidRDefault="00206F6A" w:rsidP="00206F6A">
      <w:pPr>
        <w:pStyle w:val="PlainText"/>
        <w:numPr>
          <w:ilvl w:val="0"/>
          <w:numId w:val="33"/>
        </w:numPr>
        <w:tabs>
          <w:tab w:val="num" w:pos="851"/>
        </w:tabs>
        <w:spacing w:before="0" w:beforeAutospacing="0" w:after="0" w:afterAutospacing="0" w:line="360" w:lineRule="auto"/>
        <w:ind w:left="1134" w:right="-181" w:hanging="567"/>
        <w:rPr>
          <w:rFonts w:ascii="Arial" w:hAnsi="Arial" w:cs="Arial"/>
        </w:rPr>
      </w:pPr>
      <w:r w:rsidRPr="00283283">
        <w:rPr>
          <w:rFonts w:ascii="Arial" w:hAnsi="Arial" w:cs="Arial"/>
        </w:rPr>
        <w:t>Partnership.</w:t>
      </w:r>
    </w:p>
    <w:p w14:paraId="66869344" w14:textId="77777777" w:rsidR="00B52C38" w:rsidRPr="00680F93" w:rsidRDefault="00B52C38" w:rsidP="00680F93">
      <w:pPr>
        <w:spacing w:line="360" w:lineRule="auto"/>
        <w:rPr>
          <w:rFonts w:ascii="Arial" w:hAnsi="Arial" w:cs="Arial"/>
        </w:rPr>
      </w:pPr>
    </w:p>
    <w:p w14:paraId="53CC7450" w14:textId="77777777" w:rsidR="00B52C38" w:rsidRPr="00F26AD6" w:rsidRDefault="00B52C38" w:rsidP="00F26AD6">
      <w:pPr>
        <w:pStyle w:val="ListParagraph"/>
        <w:numPr>
          <w:ilvl w:val="1"/>
          <w:numId w:val="34"/>
        </w:numPr>
        <w:spacing w:line="360" w:lineRule="auto"/>
        <w:rPr>
          <w:rFonts w:ascii="Arial" w:hAnsi="Arial" w:cs="Arial"/>
        </w:rPr>
      </w:pPr>
      <w:r w:rsidRPr="00F26AD6">
        <w:rPr>
          <w:rFonts w:ascii="Arial" w:hAnsi="Arial" w:cs="Arial"/>
        </w:rPr>
        <w:t xml:space="preserve">The Justice </w:t>
      </w:r>
      <w:r w:rsidR="00685ADD" w:rsidRPr="00F26AD6">
        <w:rPr>
          <w:rFonts w:ascii="Arial" w:hAnsi="Arial" w:cs="Arial"/>
        </w:rPr>
        <w:t>(Northern Ireland) Act</w:t>
      </w:r>
      <w:r w:rsidRPr="00F26AD6">
        <w:rPr>
          <w:rFonts w:ascii="Arial" w:hAnsi="Arial" w:cs="Arial"/>
        </w:rPr>
        <w:t xml:space="preserve"> 2002</w:t>
      </w:r>
      <w:r w:rsidR="00685ADD" w:rsidRPr="00F26AD6">
        <w:rPr>
          <w:rFonts w:ascii="Arial" w:hAnsi="Arial" w:cs="Arial"/>
        </w:rPr>
        <w:t xml:space="preserve"> (as amended)</w:t>
      </w:r>
      <w:r w:rsidRPr="00F26AD6">
        <w:rPr>
          <w:rFonts w:ascii="Arial" w:hAnsi="Arial" w:cs="Arial"/>
        </w:rPr>
        <w:t xml:space="preserve"> </w:t>
      </w:r>
      <w:r w:rsidR="000A5BD2" w:rsidRPr="00F26AD6">
        <w:rPr>
          <w:rFonts w:ascii="Arial" w:hAnsi="Arial" w:cs="Arial"/>
        </w:rPr>
        <w:t xml:space="preserve">(the Act) </w:t>
      </w:r>
      <w:r w:rsidR="00685ADD" w:rsidRPr="00F26AD6">
        <w:rPr>
          <w:rFonts w:ascii="Arial" w:hAnsi="Arial" w:cs="Arial"/>
        </w:rPr>
        <w:t>sets</w:t>
      </w:r>
      <w:r w:rsidRPr="00F26AD6">
        <w:rPr>
          <w:rFonts w:ascii="Arial" w:hAnsi="Arial" w:cs="Arial"/>
        </w:rPr>
        <w:t xml:space="preserve"> out the NIJAC’s statutory obligations. These are:</w:t>
      </w:r>
    </w:p>
    <w:p w14:paraId="65970E62" w14:textId="77777777" w:rsidR="00B52C38" w:rsidRPr="00680F93" w:rsidRDefault="00B52C38" w:rsidP="00680F93">
      <w:pPr>
        <w:spacing w:line="360" w:lineRule="auto"/>
        <w:rPr>
          <w:rFonts w:ascii="Arial" w:hAnsi="Arial" w:cs="Arial"/>
        </w:rPr>
      </w:pPr>
    </w:p>
    <w:p w14:paraId="6F0F9FF6" w14:textId="77777777" w:rsidR="00B52C38" w:rsidRPr="00F26AD6" w:rsidRDefault="00B52C38" w:rsidP="00F26AD6">
      <w:pPr>
        <w:pStyle w:val="ListParagraph"/>
        <w:numPr>
          <w:ilvl w:val="0"/>
          <w:numId w:val="36"/>
        </w:numPr>
        <w:spacing w:line="360" w:lineRule="auto"/>
        <w:rPr>
          <w:rFonts w:ascii="Arial" w:hAnsi="Arial" w:cs="Arial"/>
        </w:rPr>
      </w:pPr>
      <w:r w:rsidRPr="00F26AD6">
        <w:rPr>
          <w:rFonts w:ascii="Arial" w:hAnsi="Arial" w:cs="Arial"/>
        </w:rPr>
        <w:t>To conduct the appointments process and select and appoint, and recommend for appointment, applicants in respect of all listed judicial offices up to and including High Court Judge as set out in Schedule 1 of the Act;</w:t>
      </w:r>
    </w:p>
    <w:p w14:paraId="4578A2D1" w14:textId="77777777" w:rsidR="00B52C38" w:rsidRPr="00680F93" w:rsidRDefault="00B52C38" w:rsidP="00680F93">
      <w:pPr>
        <w:spacing w:line="360" w:lineRule="auto"/>
        <w:ind w:left="714" w:hanging="357"/>
        <w:rPr>
          <w:rFonts w:ascii="Arial" w:hAnsi="Arial" w:cs="Arial"/>
        </w:rPr>
      </w:pPr>
    </w:p>
    <w:p w14:paraId="400B0EE8" w14:textId="77777777" w:rsidR="00B52C38" w:rsidRPr="00F26AD6" w:rsidRDefault="00B52C38" w:rsidP="00F26AD6">
      <w:pPr>
        <w:pStyle w:val="ListParagraph"/>
        <w:numPr>
          <w:ilvl w:val="0"/>
          <w:numId w:val="36"/>
        </w:numPr>
        <w:spacing w:line="360" w:lineRule="auto"/>
        <w:rPr>
          <w:rFonts w:ascii="Arial" w:hAnsi="Arial" w:cs="Arial"/>
        </w:rPr>
      </w:pPr>
      <w:r w:rsidRPr="00F26AD6">
        <w:rPr>
          <w:rFonts w:ascii="Arial" w:hAnsi="Arial" w:cs="Arial"/>
        </w:rPr>
        <w:t>To recommend applicants solely on the basis of merit;</w:t>
      </w:r>
    </w:p>
    <w:p w14:paraId="0347B21A" w14:textId="77777777" w:rsidR="00B52C38" w:rsidRPr="00680F93" w:rsidRDefault="00B52C38" w:rsidP="00680F93">
      <w:pPr>
        <w:spacing w:line="360" w:lineRule="auto"/>
        <w:ind w:left="714" w:hanging="357"/>
        <w:rPr>
          <w:rFonts w:ascii="Arial" w:hAnsi="Arial" w:cs="Arial"/>
        </w:rPr>
      </w:pPr>
    </w:p>
    <w:p w14:paraId="70883E6C" w14:textId="77777777" w:rsidR="00B52C38" w:rsidRPr="00F26AD6" w:rsidRDefault="00B52C38" w:rsidP="00F26AD6">
      <w:pPr>
        <w:pStyle w:val="ListParagraph"/>
        <w:numPr>
          <w:ilvl w:val="0"/>
          <w:numId w:val="36"/>
        </w:numPr>
        <w:spacing w:line="360" w:lineRule="auto"/>
        <w:rPr>
          <w:rFonts w:ascii="Arial" w:hAnsi="Arial" w:cs="Arial"/>
        </w:rPr>
      </w:pPr>
      <w:r w:rsidRPr="00F26AD6">
        <w:rPr>
          <w:rFonts w:ascii="Arial" w:hAnsi="Arial" w:cs="Arial"/>
        </w:rPr>
        <w:lastRenderedPageBreak/>
        <w:t>To engage in a programme of action to secure, so far as it is reasonably practicable to do so, that appointments to listed judicial offices are such that those holding such offices are reflective of the community in Northern Ireland;</w:t>
      </w:r>
    </w:p>
    <w:p w14:paraId="35CFB12B" w14:textId="77777777" w:rsidR="00B52C38" w:rsidRPr="00680F93" w:rsidRDefault="00B52C38" w:rsidP="00680F93">
      <w:pPr>
        <w:spacing w:line="360" w:lineRule="auto"/>
        <w:ind w:left="714" w:hanging="357"/>
        <w:rPr>
          <w:rFonts w:ascii="Arial" w:hAnsi="Arial" w:cs="Arial"/>
        </w:rPr>
      </w:pPr>
    </w:p>
    <w:p w14:paraId="7BCC99CE" w14:textId="77777777" w:rsidR="00B52C38" w:rsidRPr="00F26AD6" w:rsidRDefault="00B52C38" w:rsidP="00F26AD6">
      <w:pPr>
        <w:pStyle w:val="ListParagraph"/>
        <w:numPr>
          <w:ilvl w:val="0"/>
          <w:numId w:val="36"/>
        </w:numPr>
        <w:spacing w:line="360" w:lineRule="auto"/>
        <w:rPr>
          <w:rFonts w:ascii="Arial" w:hAnsi="Arial" w:cs="Arial"/>
        </w:rPr>
      </w:pPr>
      <w:r w:rsidRPr="00F26AD6">
        <w:rPr>
          <w:rFonts w:ascii="Arial" w:hAnsi="Arial" w:cs="Arial"/>
        </w:rPr>
        <w:t>To engage in a programme of action to secure, so far as it is reasonably practicable to do so, that a range of persons reflective of the community in Northern Ireland is available for consideration by NIJAC whenever it is required to select a person to be appointed, or recommended for appointment, to a listed judicial office; and</w:t>
      </w:r>
    </w:p>
    <w:p w14:paraId="73357635" w14:textId="77777777" w:rsidR="00B52C38" w:rsidRPr="00680F93" w:rsidRDefault="00B52C38" w:rsidP="00680F93">
      <w:pPr>
        <w:spacing w:line="360" w:lineRule="auto"/>
        <w:ind w:left="1134" w:hanging="567"/>
        <w:rPr>
          <w:rFonts w:ascii="Arial" w:hAnsi="Arial" w:cs="Arial"/>
        </w:rPr>
      </w:pPr>
    </w:p>
    <w:p w14:paraId="6504D18D" w14:textId="77777777" w:rsidR="00B52C38" w:rsidRPr="00F26AD6" w:rsidRDefault="00B52C38" w:rsidP="00F26AD6">
      <w:pPr>
        <w:pStyle w:val="ListParagraph"/>
        <w:numPr>
          <w:ilvl w:val="0"/>
          <w:numId w:val="36"/>
        </w:numPr>
        <w:spacing w:line="360" w:lineRule="auto"/>
        <w:rPr>
          <w:rFonts w:ascii="Arial" w:hAnsi="Arial" w:cs="Arial"/>
        </w:rPr>
      </w:pPr>
      <w:r w:rsidRPr="00F26AD6">
        <w:rPr>
          <w:rFonts w:ascii="Arial" w:hAnsi="Arial" w:cs="Arial"/>
        </w:rPr>
        <w:t>To publish an Annual Report setting out the activities and accounts for the past year.</w:t>
      </w:r>
    </w:p>
    <w:p w14:paraId="04E809A2" w14:textId="77777777" w:rsidR="00204E88" w:rsidRDefault="00204E88" w:rsidP="00680F93">
      <w:pPr>
        <w:spacing w:line="360" w:lineRule="auto"/>
        <w:ind w:left="714" w:hanging="357"/>
        <w:rPr>
          <w:rFonts w:ascii="Arial" w:hAnsi="Arial" w:cs="Arial"/>
        </w:rPr>
      </w:pPr>
    </w:p>
    <w:p w14:paraId="54C6458C" w14:textId="77777777" w:rsidR="008B46FC" w:rsidRPr="00680F93" w:rsidRDefault="008B46FC" w:rsidP="00680F93">
      <w:pPr>
        <w:spacing w:line="360" w:lineRule="auto"/>
        <w:ind w:left="714" w:hanging="357"/>
        <w:rPr>
          <w:rFonts w:ascii="Arial" w:hAnsi="Arial" w:cs="Arial"/>
        </w:rPr>
      </w:pPr>
    </w:p>
    <w:p w14:paraId="5566E074" w14:textId="77777777" w:rsidR="00204E88" w:rsidRPr="00CD0C64" w:rsidRDefault="00B52C38" w:rsidP="00B03C0F">
      <w:pPr>
        <w:spacing w:line="360" w:lineRule="auto"/>
        <w:ind w:left="357" w:hanging="357"/>
        <w:rPr>
          <w:rFonts w:ascii="Arial" w:hAnsi="Arial" w:cs="Arial"/>
          <w:b/>
          <w:color w:val="002D5B"/>
        </w:rPr>
      </w:pPr>
      <w:r w:rsidRPr="00CD0C64">
        <w:rPr>
          <w:rFonts w:ascii="Arial" w:hAnsi="Arial" w:cs="Arial"/>
          <w:b/>
          <w:color w:val="002D5B"/>
        </w:rPr>
        <w:t>2.</w:t>
      </w:r>
      <w:r w:rsidRPr="00CD0C64">
        <w:rPr>
          <w:rFonts w:ascii="Arial" w:hAnsi="Arial" w:cs="Arial"/>
          <w:b/>
          <w:color w:val="002D5B"/>
        </w:rPr>
        <w:tab/>
        <w:t>Confidentiality</w:t>
      </w:r>
    </w:p>
    <w:p w14:paraId="66BD9EC0" w14:textId="77777777" w:rsidR="00206F6A" w:rsidRDefault="00430212" w:rsidP="00430212">
      <w:pPr>
        <w:pStyle w:val="Default"/>
        <w:spacing w:line="360" w:lineRule="auto"/>
        <w:ind w:left="709" w:hanging="709"/>
      </w:pPr>
      <w:r>
        <w:t>2.1</w:t>
      </w:r>
      <w:r>
        <w:tab/>
      </w:r>
      <w:r>
        <w:tab/>
      </w:r>
      <w:r w:rsidR="00206F6A" w:rsidRPr="006B6C4E">
        <w:t xml:space="preserve">Confidentiality is a fundamental principle which is enshrined in legislation regarding the appointment </w:t>
      </w:r>
      <w:r w:rsidR="00206F6A">
        <w:t>to</w:t>
      </w:r>
      <w:r w:rsidR="00206F6A" w:rsidRPr="006B6C4E">
        <w:t xml:space="preserve"> judicial office. </w:t>
      </w:r>
      <w:r w:rsidR="00206F6A">
        <w:t>NIJAC consider</w:t>
      </w:r>
      <w:r w:rsidR="00B03C0F">
        <w:t>s</w:t>
      </w:r>
      <w:r w:rsidR="00206F6A">
        <w:t xml:space="preserve"> that i</w:t>
      </w:r>
      <w:r w:rsidR="00206F6A" w:rsidRPr="006B6C4E">
        <w:t>nformation is confidential if it relates to an identified or identifiable individual.</w:t>
      </w:r>
    </w:p>
    <w:p w14:paraId="13801913" w14:textId="77777777" w:rsidR="00206F6A" w:rsidRDefault="00206F6A" w:rsidP="00680F93">
      <w:pPr>
        <w:pStyle w:val="Default"/>
        <w:spacing w:line="360" w:lineRule="auto"/>
      </w:pPr>
    </w:p>
    <w:p w14:paraId="344EA1E7" w14:textId="77777777" w:rsidR="00206F6A" w:rsidRPr="006B6C4E" w:rsidRDefault="00430212" w:rsidP="00206F6A">
      <w:pPr>
        <w:tabs>
          <w:tab w:val="left" w:pos="709"/>
          <w:tab w:val="left" w:pos="1276"/>
        </w:tabs>
        <w:spacing w:line="360" w:lineRule="auto"/>
        <w:ind w:left="709" w:hanging="709"/>
        <w:jc w:val="both"/>
        <w:rPr>
          <w:rFonts w:ascii="Arial" w:hAnsi="Arial" w:cs="Arial"/>
        </w:rPr>
      </w:pPr>
      <w:r>
        <w:rPr>
          <w:rFonts w:ascii="Arial" w:hAnsi="Arial" w:cs="Arial"/>
        </w:rPr>
        <w:t>2.2</w:t>
      </w:r>
      <w:r>
        <w:rPr>
          <w:rFonts w:ascii="Arial" w:hAnsi="Arial" w:cs="Arial"/>
        </w:rPr>
        <w:tab/>
      </w:r>
      <w:r w:rsidR="00206F6A" w:rsidRPr="006B6C4E">
        <w:rPr>
          <w:rFonts w:ascii="Arial" w:hAnsi="Arial" w:cs="Arial"/>
        </w:rPr>
        <w:t>Section 9I of the Justice (Northern Ireland) Act 2002</w:t>
      </w:r>
      <w:r w:rsidR="00206F6A">
        <w:rPr>
          <w:rFonts w:ascii="Arial" w:hAnsi="Arial" w:cs="Arial"/>
        </w:rPr>
        <w:t xml:space="preserve"> (as amended)</w:t>
      </w:r>
      <w:r w:rsidR="00B742C6">
        <w:rPr>
          <w:rFonts w:ascii="Arial" w:hAnsi="Arial" w:cs="Arial"/>
        </w:rPr>
        <w:t xml:space="preserve">, as inserted </w:t>
      </w:r>
      <w:r w:rsidR="00206F6A" w:rsidRPr="006B6C4E">
        <w:rPr>
          <w:rFonts w:ascii="Arial" w:hAnsi="Arial" w:cs="Arial"/>
        </w:rPr>
        <w:t xml:space="preserve">by section 132 of the Constitutional Reform Act 2005, provides the statutory framework on confidentiality in relation to judicial appointments. It </w:t>
      </w:r>
      <w:r w:rsidR="00B03C0F">
        <w:rPr>
          <w:rFonts w:ascii="Arial" w:hAnsi="Arial" w:cs="Arial"/>
        </w:rPr>
        <w:t>provides</w:t>
      </w:r>
      <w:r w:rsidR="00206F6A" w:rsidRPr="006B6C4E">
        <w:rPr>
          <w:rFonts w:ascii="Arial" w:hAnsi="Arial" w:cs="Arial"/>
        </w:rPr>
        <w:t xml:space="preserve"> -</w:t>
      </w:r>
    </w:p>
    <w:p w14:paraId="47A5F701" w14:textId="77777777" w:rsidR="00206F6A" w:rsidRPr="006B6C4E" w:rsidRDefault="00206F6A" w:rsidP="00206F6A">
      <w:pPr>
        <w:tabs>
          <w:tab w:val="left" w:pos="709"/>
          <w:tab w:val="left" w:pos="1276"/>
        </w:tabs>
        <w:spacing w:line="360" w:lineRule="auto"/>
        <w:ind w:left="709" w:hanging="709"/>
        <w:jc w:val="both"/>
        <w:rPr>
          <w:rFonts w:ascii="Arial" w:hAnsi="Arial" w:cs="Arial"/>
        </w:rPr>
      </w:pPr>
    </w:p>
    <w:p w14:paraId="4501C445" w14:textId="77777777" w:rsidR="00206F6A" w:rsidRDefault="00206F6A" w:rsidP="00206F6A">
      <w:pPr>
        <w:tabs>
          <w:tab w:val="left" w:pos="709"/>
          <w:tab w:val="left" w:pos="1276"/>
        </w:tabs>
        <w:spacing w:line="360" w:lineRule="auto"/>
        <w:ind w:left="709" w:hanging="709"/>
        <w:jc w:val="both"/>
        <w:rPr>
          <w:rFonts w:ascii="Arial" w:hAnsi="Arial" w:cs="Arial"/>
          <w:i/>
        </w:rPr>
      </w:pPr>
      <w:r w:rsidRPr="006B6C4E">
        <w:rPr>
          <w:rFonts w:ascii="Arial" w:hAnsi="Arial" w:cs="Arial"/>
          <w:i/>
        </w:rPr>
        <w:tab/>
        <w:t>“(1) A person who obtains confidential information, or to whom confidential information is provided, under or for the purposes of a relevant provision must not disclose it except with lawful authority.”</w:t>
      </w:r>
    </w:p>
    <w:p w14:paraId="6FD35BE9" w14:textId="77777777" w:rsidR="00206F6A" w:rsidRDefault="00206F6A" w:rsidP="00206F6A">
      <w:pPr>
        <w:tabs>
          <w:tab w:val="left" w:pos="709"/>
          <w:tab w:val="left" w:pos="1276"/>
        </w:tabs>
        <w:spacing w:line="360" w:lineRule="auto"/>
        <w:ind w:left="709" w:hanging="709"/>
        <w:jc w:val="both"/>
        <w:rPr>
          <w:rFonts w:ascii="Arial" w:hAnsi="Arial" w:cs="Arial"/>
          <w:i/>
        </w:rPr>
      </w:pPr>
    </w:p>
    <w:p w14:paraId="1A79F97A" w14:textId="77777777" w:rsidR="00206F6A" w:rsidRPr="006B6C4E" w:rsidRDefault="00430212" w:rsidP="00206F6A">
      <w:pPr>
        <w:tabs>
          <w:tab w:val="left" w:pos="709"/>
          <w:tab w:val="left" w:pos="1276"/>
        </w:tabs>
        <w:spacing w:line="360" w:lineRule="auto"/>
        <w:ind w:left="709" w:hanging="709"/>
        <w:jc w:val="both"/>
        <w:rPr>
          <w:rFonts w:ascii="Arial" w:hAnsi="Arial" w:cs="Arial"/>
        </w:rPr>
      </w:pPr>
      <w:r>
        <w:rPr>
          <w:rFonts w:ascii="Arial" w:hAnsi="Arial" w:cs="Arial"/>
        </w:rPr>
        <w:t>2.3</w:t>
      </w:r>
      <w:r>
        <w:rPr>
          <w:rFonts w:ascii="Arial" w:hAnsi="Arial" w:cs="Arial"/>
        </w:rPr>
        <w:tab/>
      </w:r>
      <w:r w:rsidR="00206F6A">
        <w:rPr>
          <w:rFonts w:ascii="Arial" w:hAnsi="Arial" w:cs="Arial"/>
        </w:rPr>
        <w:t xml:space="preserve">Section 9I(4) </w:t>
      </w:r>
      <w:r w:rsidR="00206F6A" w:rsidRPr="006B6C4E">
        <w:rPr>
          <w:rFonts w:ascii="Arial" w:hAnsi="Arial" w:cs="Arial"/>
        </w:rPr>
        <w:t xml:space="preserve">provides when and to what extent the disclosure of confidential information can lawfully be made: this can happen (a) when the disclosure is with the consent of each person who is the subject of the information; (b) when the disclosure is for (and is necessary for) the exercise by any person of functions under a relevant provision or a </w:t>
      </w:r>
      <w:r w:rsidR="00206F6A" w:rsidRPr="006B6C4E">
        <w:rPr>
          <w:rFonts w:ascii="Arial" w:hAnsi="Arial" w:cs="Arial"/>
        </w:rPr>
        <w:lastRenderedPageBreak/>
        <w:t xml:space="preserve">decision whether to exercise them; (c) when the disclosure is required, under rules of court or a court order, for the purposes of legal proceedings of any description. </w:t>
      </w:r>
    </w:p>
    <w:p w14:paraId="54646C4D" w14:textId="77777777" w:rsidR="00206F6A" w:rsidRPr="006B6C4E" w:rsidRDefault="00206F6A" w:rsidP="00206F6A">
      <w:pPr>
        <w:tabs>
          <w:tab w:val="left" w:pos="709"/>
          <w:tab w:val="left" w:pos="1276"/>
        </w:tabs>
        <w:spacing w:line="360" w:lineRule="auto"/>
        <w:ind w:left="709" w:hanging="709"/>
        <w:jc w:val="both"/>
        <w:rPr>
          <w:rFonts w:ascii="Arial" w:hAnsi="Arial" w:cs="Arial"/>
        </w:rPr>
      </w:pPr>
    </w:p>
    <w:p w14:paraId="2B9B9B8B" w14:textId="77777777" w:rsidR="00206F6A" w:rsidRDefault="00430212" w:rsidP="00206F6A">
      <w:pPr>
        <w:tabs>
          <w:tab w:val="left" w:pos="709"/>
          <w:tab w:val="left" w:pos="1276"/>
        </w:tabs>
        <w:spacing w:line="360" w:lineRule="auto"/>
        <w:ind w:left="709" w:hanging="709"/>
        <w:jc w:val="both"/>
        <w:rPr>
          <w:rFonts w:ascii="Arial" w:hAnsi="Arial" w:cs="Arial"/>
        </w:rPr>
      </w:pPr>
      <w:r>
        <w:rPr>
          <w:rFonts w:ascii="Arial" w:hAnsi="Arial" w:cs="Arial"/>
        </w:rPr>
        <w:t>2.4</w:t>
      </w:r>
      <w:r>
        <w:rPr>
          <w:rFonts w:ascii="Arial" w:hAnsi="Arial" w:cs="Arial"/>
        </w:rPr>
        <w:tab/>
      </w:r>
      <w:r w:rsidR="00206F6A" w:rsidRPr="006B6C4E">
        <w:rPr>
          <w:rFonts w:ascii="Arial" w:hAnsi="Arial" w:cs="Arial"/>
        </w:rPr>
        <w:t xml:space="preserve">Disclosure outside of these provisions is </w:t>
      </w:r>
      <w:r w:rsidR="00206F6A" w:rsidRPr="006B6C4E">
        <w:rPr>
          <w:rFonts w:ascii="Arial" w:hAnsi="Arial" w:cs="Arial"/>
          <w:b/>
          <w:u w:val="single"/>
        </w:rPr>
        <w:t>unlawful</w:t>
      </w:r>
      <w:r w:rsidR="00206F6A" w:rsidRPr="006B6C4E">
        <w:rPr>
          <w:rFonts w:ascii="Arial" w:hAnsi="Arial" w:cs="Arial"/>
        </w:rPr>
        <w:t>.</w:t>
      </w:r>
    </w:p>
    <w:p w14:paraId="0BAAE79C" w14:textId="77777777" w:rsidR="00206F6A" w:rsidRPr="006B6C4E" w:rsidRDefault="00206F6A" w:rsidP="00206F6A">
      <w:pPr>
        <w:tabs>
          <w:tab w:val="left" w:pos="709"/>
          <w:tab w:val="left" w:pos="1276"/>
        </w:tabs>
        <w:spacing w:line="360" w:lineRule="auto"/>
        <w:ind w:left="709" w:hanging="709"/>
        <w:jc w:val="both"/>
        <w:rPr>
          <w:rFonts w:ascii="Arial" w:hAnsi="Arial" w:cs="Arial"/>
        </w:rPr>
      </w:pPr>
    </w:p>
    <w:p w14:paraId="3684036B" w14:textId="77777777" w:rsidR="00206F6A" w:rsidRDefault="00430212" w:rsidP="00206F6A">
      <w:pPr>
        <w:tabs>
          <w:tab w:val="left" w:pos="709"/>
          <w:tab w:val="left" w:pos="1276"/>
        </w:tabs>
        <w:spacing w:line="360" w:lineRule="auto"/>
        <w:ind w:left="709" w:hanging="709"/>
        <w:jc w:val="both"/>
        <w:rPr>
          <w:rFonts w:ascii="Arial" w:hAnsi="Arial" w:cs="Arial"/>
        </w:rPr>
      </w:pPr>
      <w:r>
        <w:rPr>
          <w:rFonts w:ascii="Arial" w:hAnsi="Arial" w:cs="Arial"/>
        </w:rPr>
        <w:t>2.5</w:t>
      </w:r>
      <w:r>
        <w:rPr>
          <w:rFonts w:ascii="Arial" w:hAnsi="Arial" w:cs="Arial"/>
        </w:rPr>
        <w:tab/>
      </w:r>
      <w:r w:rsidR="00206F6A" w:rsidRPr="006B6C4E">
        <w:rPr>
          <w:rFonts w:ascii="Arial" w:hAnsi="Arial" w:cs="Arial"/>
        </w:rPr>
        <w:t>NIJAC Commissioners and staff are responsible for ensuring that confidential information is not</w:t>
      </w:r>
      <w:r w:rsidR="00206F6A">
        <w:rPr>
          <w:rFonts w:ascii="Arial" w:hAnsi="Arial" w:cs="Arial"/>
        </w:rPr>
        <w:t xml:space="preserve"> unlawfully</w:t>
      </w:r>
      <w:r w:rsidR="00206F6A" w:rsidRPr="006B6C4E">
        <w:rPr>
          <w:rFonts w:ascii="Arial" w:hAnsi="Arial" w:cs="Arial"/>
        </w:rPr>
        <w:t xml:space="preserve"> disclosed</w:t>
      </w:r>
      <w:r w:rsidR="00206F6A">
        <w:rPr>
          <w:rFonts w:ascii="Arial" w:hAnsi="Arial" w:cs="Arial"/>
        </w:rPr>
        <w:t>.</w:t>
      </w:r>
    </w:p>
    <w:p w14:paraId="0183FF1C" w14:textId="77777777" w:rsidR="00206F6A" w:rsidRDefault="00206F6A" w:rsidP="00680F93">
      <w:pPr>
        <w:pStyle w:val="Default"/>
        <w:spacing w:line="360" w:lineRule="auto"/>
      </w:pPr>
    </w:p>
    <w:p w14:paraId="3FDE837A" w14:textId="77777777" w:rsidR="0013511A" w:rsidRPr="00B03C0F" w:rsidRDefault="00B52C38" w:rsidP="00B03C0F">
      <w:pPr>
        <w:spacing w:line="360" w:lineRule="auto"/>
        <w:ind w:left="357" w:hanging="357"/>
        <w:rPr>
          <w:rFonts w:ascii="Arial" w:hAnsi="Arial" w:cs="Arial"/>
          <w:b/>
        </w:rPr>
      </w:pPr>
      <w:r w:rsidRPr="00CD0C64">
        <w:rPr>
          <w:rFonts w:ascii="Arial" w:hAnsi="Arial" w:cs="Arial"/>
          <w:b/>
          <w:color w:val="002D5B"/>
        </w:rPr>
        <w:t xml:space="preserve">3. </w:t>
      </w:r>
      <w:r w:rsidRPr="00CD0C64">
        <w:rPr>
          <w:rFonts w:ascii="Arial" w:hAnsi="Arial" w:cs="Arial"/>
          <w:b/>
          <w:color w:val="002D5B"/>
        </w:rPr>
        <w:tab/>
        <w:t>Publication Scheme</w:t>
      </w:r>
    </w:p>
    <w:p w14:paraId="5666C2E6" w14:textId="77777777" w:rsidR="00B52C38" w:rsidRPr="00680F93" w:rsidRDefault="00430212" w:rsidP="00430212">
      <w:pPr>
        <w:pStyle w:val="NormalWeb"/>
        <w:spacing w:before="0" w:beforeAutospacing="0" w:after="0" w:afterAutospacing="0" w:line="360" w:lineRule="auto"/>
        <w:ind w:left="720" w:hanging="720"/>
        <w:rPr>
          <w:rFonts w:ascii="Arial" w:hAnsi="Arial" w:cs="Arial"/>
        </w:rPr>
      </w:pPr>
      <w:r>
        <w:rPr>
          <w:rFonts w:ascii="Arial" w:hAnsi="Arial" w:cs="Arial"/>
        </w:rPr>
        <w:t>3.1</w:t>
      </w:r>
      <w:r>
        <w:rPr>
          <w:rFonts w:ascii="Arial" w:hAnsi="Arial" w:cs="Arial"/>
        </w:rPr>
        <w:tab/>
      </w:r>
      <w:r w:rsidR="00B52C38" w:rsidRPr="00680F93">
        <w:rPr>
          <w:rFonts w:ascii="Arial" w:hAnsi="Arial" w:cs="Arial"/>
        </w:rPr>
        <w:t>Under section 19(1) of the Freedom of Information Act 2000 (</w:t>
      </w:r>
      <w:r w:rsidR="000A5BD2" w:rsidRPr="00680F93">
        <w:rPr>
          <w:rFonts w:ascii="Arial" w:hAnsi="Arial" w:cs="Arial"/>
        </w:rPr>
        <w:t>FoIA</w:t>
      </w:r>
      <w:r w:rsidR="00B52C38" w:rsidRPr="00680F93">
        <w:rPr>
          <w:rFonts w:ascii="Arial" w:hAnsi="Arial" w:cs="Arial"/>
        </w:rPr>
        <w:t>) every public authority is required to adopt and maintain a publication scheme setting out the classes of information it holds, the manner in which it intends to publish the information and whether or not a charge will be made for the information.</w:t>
      </w:r>
    </w:p>
    <w:p w14:paraId="3F4FE638" w14:textId="77777777" w:rsidR="00B52C38" w:rsidRPr="00680F93" w:rsidRDefault="00B52C38" w:rsidP="00680F93">
      <w:pPr>
        <w:spacing w:line="360" w:lineRule="auto"/>
        <w:rPr>
          <w:rFonts w:ascii="Arial" w:hAnsi="Arial" w:cs="Arial"/>
        </w:rPr>
      </w:pPr>
    </w:p>
    <w:p w14:paraId="773FC510" w14:textId="06217AB7" w:rsidR="00B52C38" w:rsidRPr="00680F93" w:rsidRDefault="00430212" w:rsidP="00430212">
      <w:pPr>
        <w:spacing w:line="360" w:lineRule="auto"/>
        <w:ind w:left="720" w:hanging="720"/>
        <w:rPr>
          <w:rFonts w:ascii="Arial" w:hAnsi="Arial" w:cs="Arial"/>
        </w:rPr>
      </w:pPr>
      <w:r>
        <w:rPr>
          <w:rFonts w:ascii="Arial" w:hAnsi="Arial" w:cs="Arial"/>
        </w:rPr>
        <w:t>3.2</w:t>
      </w:r>
      <w:r>
        <w:rPr>
          <w:rFonts w:ascii="Arial" w:hAnsi="Arial" w:cs="Arial"/>
        </w:rPr>
        <w:tab/>
      </w:r>
      <w:r w:rsidR="00B52C38" w:rsidRPr="00680F93">
        <w:rPr>
          <w:rFonts w:ascii="Arial" w:hAnsi="Arial" w:cs="Arial"/>
        </w:rPr>
        <w:t xml:space="preserve">The Information Commissioner, responsible for monitoring and enforcing compliance with the </w:t>
      </w:r>
      <w:r w:rsidR="000A5BD2" w:rsidRPr="00680F93">
        <w:rPr>
          <w:rFonts w:ascii="Arial" w:hAnsi="Arial" w:cs="Arial"/>
        </w:rPr>
        <w:t>FoIA</w:t>
      </w:r>
      <w:r w:rsidR="00B52C38" w:rsidRPr="00680F93">
        <w:rPr>
          <w:rFonts w:ascii="Arial" w:hAnsi="Arial" w:cs="Arial"/>
        </w:rPr>
        <w:t xml:space="preserve">, has drawn up a </w:t>
      </w:r>
      <w:hyperlink r:id="rId9" w:history="1">
        <w:r w:rsidR="00B52C38" w:rsidRPr="00E6492C">
          <w:rPr>
            <w:rStyle w:val="Hyperlink"/>
            <w:rFonts w:ascii="Arial" w:hAnsi="Arial" w:cs="Arial"/>
          </w:rPr>
          <w:t>Model Publication Scheme</w:t>
        </w:r>
      </w:hyperlink>
      <w:r w:rsidR="00B52C38" w:rsidRPr="00680F93">
        <w:rPr>
          <w:rFonts w:ascii="Arial" w:hAnsi="Arial" w:cs="Arial"/>
        </w:rPr>
        <w:t xml:space="preserve"> for all public sector organisations. NIJAC has formally adopted the Information Commissioner’s model publication scheme.</w:t>
      </w:r>
    </w:p>
    <w:p w14:paraId="6477E508" w14:textId="77777777" w:rsidR="00B52C38" w:rsidRPr="00680F93" w:rsidRDefault="00B52C38" w:rsidP="00680F93">
      <w:pPr>
        <w:spacing w:line="360" w:lineRule="auto"/>
        <w:rPr>
          <w:rFonts w:ascii="Arial" w:hAnsi="Arial" w:cs="Arial"/>
        </w:rPr>
      </w:pPr>
    </w:p>
    <w:p w14:paraId="669A453C" w14:textId="77777777" w:rsidR="00B52C38" w:rsidRPr="00680F93" w:rsidRDefault="00430212" w:rsidP="00430212">
      <w:pPr>
        <w:spacing w:line="360" w:lineRule="auto"/>
        <w:ind w:left="720" w:hanging="720"/>
        <w:rPr>
          <w:rFonts w:ascii="Arial" w:hAnsi="Arial" w:cs="Arial"/>
        </w:rPr>
      </w:pPr>
      <w:r>
        <w:rPr>
          <w:rFonts w:ascii="Arial" w:hAnsi="Arial" w:cs="Arial"/>
        </w:rPr>
        <w:t>3.3</w:t>
      </w:r>
      <w:r>
        <w:rPr>
          <w:rFonts w:ascii="Arial" w:hAnsi="Arial" w:cs="Arial"/>
        </w:rPr>
        <w:tab/>
      </w:r>
      <w:r w:rsidR="00B52C38" w:rsidRPr="00680F93">
        <w:rPr>
          <w:rFonts w:ascii="Arial" w:hAnsi="Arial" w:cs="Arial"/>
        </w:rPr>
        <w:t>The scheme is organised into seven classes of information which are set out below;</w:t>
      </w:r>
    </w:p>
    <w:p w14:paraId="475F0D20" w14:textId="77777777" w:rsidR="00B52C38" w:rsidRPr="00680F93" w:rsidRDefault="00B52C38" w:rsidP="00680F93">
      <w:pPr>
        <w:pStyle w:val="ListParagraph"/>
        <w:numPr>
          <w:ilvl w:val="0"/>
          <w:numId w:val="31"/>
        </w:numPr>
        <w:spacing w:line="360" w:lineRule="auto"/>
        <w:ind w:left="1701" w:hanging="567"/>
        <w:contextualSpacing/>
        <w:outlineLvl w:val="1"/>
        <w:rPr>
          <w:rFonts w:ascii="Arial" w:hAnsi="Arial" w:cs="Arial"/>
          <w:b/>
          <w:bCs/>
        </w:rPr>
      </w:pPr>
      <w:r w:rsidRPr="00680F93">
        <w:rPr>
          <w:rFonts w:ascii="Arial" w:hAnsi="Arial" w:cs="Arial"/>
          <w:b/>
          <w:bCs/>
        </w:rPr>
        <w:t>Who we are and what we do. </w:t>
      </w:r>
    </w:p>
    <w:p w14:paraId="248767E8" w14:textId="77777777" w:rsidR="00B52C38" w:rsidRPr="00680F93" w:rsidRDefault="00B52C38" w:rsidP="00680F93">
      <w:pPr>
        <w:pStyle w:val="ListParagraph"/>
        <w:numPr>
          <w:ilvl w:val="0"/>
          <w:numId w:val="31"/>
        </w:numPr>
        <w:spacing w:line="360" w:lineRule="auto"/>
        <w:ind w:left="1701" w:hanging="567"/>
        <w:contextualSpacing/>
        <w:outlineLvl w:val="1"/>
        <w:rPr>
          <w:rFonts w:ascii="Arial" w:hAnsi="Arial" w:cs="Arial"/>
          <w:b/>
          <w:bCs/>
        </w:rPr>
      </w:pPr>
      <w:r w:rsidRPr="00680F93">
        <w:rPr>
          <w:rFonts w:ascii="Arial" w:hAnsi="Arial" w:cs="Arial"/>
          <w:b/>
          <w:bCs/>
        </w:rPr>
        <w:t>What we spend and how we spend it.</w:t>
      </w:r>
    </w:p>
    <w:p w14:paraId="79A9FC9B" w14:textId="77777777" w:rsidR="00B52C38" w:rsidRPr="00680F93" w:rsidRDefault="00B52C38" w:rsidP="00680F93">
      <w:pPr>
        <w:pStyle w:val="ListParagraph"/>
        <w:numPr>
          <w:ilvl w:val="0"/>
          <w:numId w:val="31"/>
        </w:numPr>
        <w:spacing w:line="360" w:lineRule="auto"/>
        <w:ind w:left="1701" w:hanging="567"/>
        <w:contextualSpacing/>
        <w:outlineLvl w:val="1"/>
        <w:rPr>
          <w:rFonts w:ascii="Arial" w:hAnsi="Arial" w:cs="Arial"/>
          <w:b/>
          <w:bCs/>
        </w:rPr>
      </w:pPr>
      <w:r w:rsidRPr="00680F93">
        <w:rPr>
          <w:rFonts w:ascii="Arial" w:hAnsi="Arial" w:cs="Arial"/>
          <w:b/>
          <w:bCs/>
        </w:rPr>
        <w:t>What are our priorities and how are we doing. </w:t>
      </w:r>
    </w:p>
    <w:p w14:paraId="094CB189" w14:textId="77777777" w:rsidR="00B52C38" w:rsidRPr="00680F93" w:rsidRDefault="00B52C38" w:rsidP="00680F93">
      <w:pPr>
        <w:pStyle w:val="ListParagraph"/>
        <w:numPr>
          <w:ilvl w:val="0"/>
          <w:numId w:val="31"/>
        </w:numPr>
        <w:spacing w:line="360" w:lineRule="auto"/>
        <w:ind w:left="1701" w:hanging="567"/>
        <w:contextualSpacing/>
        <w:outlineLvl w:val="1"/>
        <w:rPr>
          <w:rFonts w:ascii="Arial" w:hAnsi="Arial" w:cs="Arial"/>
          <w:b/>
          <w:bCs/>
        </w:rPr>
      </w:pPr>
      <w:r w:rsidRPr="00680F93">
        <w:rPr>
          <w:rFonts w:ascii="Arial" w:hAnsi="Arial" w:cs="Arial"/>
          <w:b/>
          <w:bCs/>
        </w:rPr>
        <w:t>How we make decisions.</w:t>
      </w:r>
    </w:p>
    <w:p w14:paraId="5E43858C" w14:textId="77777777" w:rsidR="00B52C38" w:rsidRPr="00680F93" w:rsidRDefault="00B52C38" w:rsidP="00680F93">
      <w:pPr>
        <w:pStyle w:val="ListParagraph"/>
        <w:numPr>
          <w:ilvl w:val="0"/>
          <w:numId w:val="31"/>
        </w:numPr>
        <w:spacing w:line="360" w:lineRule="auto"/>
        <w:ind w:left="1701" w:hanging="567"/>
        <w:contextualSpacing/>
        <w:outlineLvl w:val="1"/>
        <w:rPr>
          <w:rFonts w:ascii="Arial" w:hAnsi="Arial" w:cs="Arial"/>
          <w:b/>
          <w:bCs/>
        </w:rPr>
      </w:pPr>
      <w:r w:rsidRPr="00680F93">
        <w:rPr>
          <w:rFonts w:ascii="Arial" w:hAnsi="Arial" w:cs="Arial"/>
          <w:b/>
          <w:bCs/>
        </w:rPr>
        <w:t>Our policies and procedures.</w:t>
      </w:r>
    </w:p>
    <w:p w14:paraId="5F672F36" w14:textId="77777777" w:rsidR="00B52C38" w:rsidRPr="00680F93" w:rsidRDefault="00B52C38" w:rsidP="00680F93">
      <w:pPr>
        <w:pStyle w:val="ListParagraph"/>
        <w:numPr>
          <w:ilvl w:val="0"/>
          <w:numId w:val="31"/>
        </w:numPr>
        <w:spacing w:line="360" w:lineRule="auto"/>
        <w:ind w:left="1701" w:hanging="567"/>
        <w:contextualSpacing/>
        <w:outlineLvl w:val="1"/>
        <w:rPr>
          <w:rFonts w:ascii="Arial" w:hAnsi="Arial" w:cs="Arial"/>
          <w:b/>
          <w:bCs/>
        </w:rPr>
      </w:pPr>
      <w:r w:rsidRPr="00680F93">
        <w:rPr>
          <w:rFonts w:ascii="Arial" w:hAnsi="Arial" w:cs="Arial"/>
          <w:b/>
          <w:bCs/>
        </w:rPr>
        <w:t>Lists and registers.</w:t>
      </w:r>
    </w:p>
    <w:p w14:paraId="148B2547" w14:textId="77777777" w:rsidR="00B52C38" w:rsidRPr="00680F93" w:rsidRDefault="00B52C38" w:rsidP="00680F93">
      <w:pPr>
        <w:pStyle w:val="Heading2"/>
        <w:numPr>
          <w:ilvl w:val="0"/>
          <w:numId w:val="31"/>
        </w:numPr>
        <w:spacing w:before="0" w:beforeAutospacing="0" w:after="0" w:afterAutospacing="0" w:line="360" w:lineRule="auto"/>
        <w:ind w:left="1701" w:hanging="567"/>
        <w:rPr>
          <w:rFonts w:ascii="Arial" w:hAnsi="Arial" w:cs="Arial"/>
          <w:sz w:val="24"/>
          <w:szCs w:val="24"/>
        </w:rPr>
      </w:pPr>
      <w:r w:rsidRPr="00680F93">
        <w:rPr>
          <w:rFonts w:ascii="Arial" w:hAnsi="Arial" w:cs="Arial"/>
          <w:sz w:val="24"/>
          <w:szCs w:val="24"/>
        </w:rPr>
        <w:t>The services we offer.</w:t>
      </w:r>
    </w:p>
    <w:p w14:paraId="3921D588" w14:textId="77777777" w:rsidR="00B52C38" w:rsidRPr="00680F93" w:rsidRDefault="00B52C38" w:rsidP="00680F93">
      <w:pPr>
        <w:spacing w:line="360" w:lineRule="auto"/>
        <w:rPr>
          <w:rFonts w:ascii="Arial" w:hAnsi="Arial" w:cs="Arial"/>
        </w:rPr>
      </w:pPr>
    </w:p>
    <w:p w14:paraId="620999D9" w14:textId="77777777" w:rsidR="0021278D" w:rsidRPr="00680F93" w:rsidRDefault="00B52C38" w:rsidP="00B03C0F">
      <w:pPr>
        <w:spacing w:line="360" w:lineRule="auto"/>
        <w:ind w:firstLine="720"/>
        <w:rPr>
          <w:rFonts w:ascii="Arial" w:hAnsi="Arial" w:cs="Arial"/>
        </w:rPr>
      </w:pPr>
      <w:r w:rsidRPr="00680F93">
        <w:rPr>
          <w:rFonts w:ascii="Arial" w:hAnsi="Arial" w:cs="Arial"/>
        </w:rPr>
        <w:t xml:space="preserve">The full publication scheme is available at </w:t>
      </w:r>
      <w:r w:rsidRPr="00680F93">
        <w:rPr>
          <w:rFonts w:ascii="Arial" w:hAnsi="Arial" w:cs="Arial"/>
          <w:b/>
        </w:rPr>
        <w:t>Annex 1</w:t>
      </w:r>
      <w:r w:rsidR="008600B7">
        <w:rPr>
          <w:rFonts w:ascii="Arial" w:hAnsi="Arial" w:cs="Arial"/>
        </w:rPr>
        <w:t xml:space="preserve"> of this document</w:t>
      </w:r>
      <w:r w:rsidRPr="00680F93">
        <w:rPr>
          <w:rFonts w:ascii="Arial" w:hAnsi="Arial" w:cs="Arial"/>
        </w:rPr>
        <w:t>.</w:t>
      </w:r>
      <w:r w:rsidR="00557ED1" w:rsidRPr="00680F93">
        <w:rPr>
          <w:rFonts w:ascii="Arial" w:hAnsi="Arial" w:cs="Arial"/>
        </w:rPr>
        <w:t xml:space="preserve"> </w:t>
      </w:r>
    </w:p>
    <w:p w14:paraId="255FF2B3" w14:textId="77777777" w:rsidR="0021278D" w:rsidRPr="00680F93" w:rsidRDefault="0021278D" w:rsidP="00680F93">
      <w:pPr>
        <w:spacing w:line="360" w:lineRule="auto"/>
        <w:rPr>
          <w:rFonts w:ascii="Arial" w:hAnsi="Arial" w:cs="Arial"/>
        </w:rPr>
      </w:pPr>
    </w:p>
    <w:p w14:paraId="6CEE80D6" w14:textId="77777777" w:rsidR="00557ED1" w:rsidRDefault="00430212" w:rsidP="00B03C0F">
      <w:pPr>
        <w:spacing w:line="360" w:lineRule="auto"/>
        <w:ind w:left="720" w:hanging="720"/>
        <w:rPr>
          <w:rFonts w:ascii="Arial" w:hAnsi="Arial" w:cs="Arial"/>
        </w:rPr>
      </w:pPr>
      <w:r>
        <w:rPr>
          <w:rFonts w:ascii="Arial" w:hAnsi="Arial" w:cs="Arial"/>
        </w:rPr>
        <w:t>3.4</w:t>
      </w:r>
      <w:r>
        <w:rPr>
          <w:rFonts w:ascii="Arial" w:hAnsi="Arial" w:cs="Arial"/>
        </w:rPr>
        <w:tab/>
      </w:r>
      <w:r w:rsidR="00557ED1" w:rsidRPr="00680F93">
        <w:rPr>
          <w:rFonts w:ascii="Arial" w:hAnsi="Arial" w:cs="Arial"/>
        </w:rPr>
        <w:t>Due to the particular scope of NIJAC’s activities not all classes of information referred to in the Model Pub</w:t>
      </w:r>
      <w:r w:rsidR="009E79C7">
        <w:rPr>
          <w:rFonts w:ascii="Arial" w:hAnsi="Arial" w:cs="Arial"/>
        </w:rPr>
        <w:t>lication Scheme apply</w:t>
      </w:r>
      <w:r w:rsidR="00B742C6">
        <w:rPr>
          <w:rFonts w:ascii="Arial" w:hAnsi="Arial" w:cs="Arial"/>
        </w:rPr>
        <w:t>.</w:t>
      </w:r>
    </w:p>
    <w:p w14:paraId="14D17A58" w14:textId="77777777" w:rsidR="00B52C38" w:rsidRPr="00CD0C64" w:rsidRDefault="00B52C38" w:rsidP="00680F93">
      <w:pPr>
        <w:spacing w:line="360" w:lineRule="auto"/>
        <w:rPr>
          <w:rFonts w:ascii="Arial" w:hAnsi="Arial" w:cs="Arial"/>
          <w:color w:val="002D5B"/>
        </w:rPr>
      </w:pPr>
    </w:p>
    <w:p w14:paraId="434F4B53" w14:textId="77777777" w:rsidR="00204E88" w:rsidRPr="00CD0C64" w:rsidRDefault="00B52C38" w:rsidP="00B03C0F">
      <w:pPr>
        <w:spacing w:line="360" w:lineRule="auto"/>
        <w:ind w:left="720" w:hanging="720"/>
        <w:rPr>
          <w:rFonts w:ascii="Arial" w:hAnsi="Arial" w:cs="Arial"/>
          <w:color w:val="002D5B"/>
        </w:rPr>
      </w:pPr>
      <w:r w:rsidRPr="00CD0C64">
        <w:rPr>
          <w:rFonts w:ascii="Arial" w:hAnsi="Arial" w:cs="Arial"/>
          <w:b/>
          <w:color w:val="002D5B"/>
        </w:rPr>
        <w:t xml:space="preserve">4. </w:t>
      </w:r>
      <w:r w:rsidRPr="00CD0C64">
        <w:rPr>
          <w:rFonts w:ascii="Arial" w:hAnsi="Arial" w:cs="Arial"/>
          <w:b/>
          <w:color w:val="002D5B"/>
        </w:rPr>
        <w:tab/>
        <w:t>Compliance with the Freedom of Information Act</w:t>
      </w:r>
      <w:r w:rsidR="00851CD0" w:rsidRPr="00CD0C64">
        <w:rPr>
          <w:rFonts w:ascii="Arial" w:hAnsi="Arial" w:cs="Arial"/>
          <w:b/>
          <w:color w:val="002D5B"/>
        </w:rPr>
        <w:t xml:space="preserve"> (and the Data Protection Act)</w:t>
      </w:r>
    </w:p>
    <w:p w14:paraId="54098252" w14:textId="77777777" w:rsidR="00B03C0F" w:rsidRDefault="00B03C0F" w:rsidP="00B03C0F">
      <w:pPr>
        <w:spacing w:line="360" w:lineRule="auto"/>
        <w:ind w:left="357" w:hanging="357"/>
        <w:rPr>
          <w:rFonts w:ascii="Arial" w:hAnsi="Arial" w:cs="Arial"/>
        </w:rPr>
      </w:pPr>
    </w:p>
    <w:p w14:paraId="0BD97575" w14:textId="77777777" w:rsidR="00B52C38" w:rsidRPr="00680F93" w:rsidRDefault="00430212" w:rsidP="00B03C0F">
      <w:pPr>
        <w:spacing w:line="360" w:lineRule="auto"/>
        <w:ind w:left="720" w:hanging="720"/>
        <w:rPr>
          <w:rFonts w:ascii="Arial" w:hAnsi="Arial" w:cs="Arial"/>
        </w:rPr>
      </w:pPr>
      <w:r>
        <w:rPr>
          <w:rFonts w:ascii="Arial" w:hAnsi="Arial" w:cs="Arial"/>
        </w:rPr>
        <w:t>4.1</w:t>
      </w:r>
      <w:r>
        <w:rPr>
          <w:rFonts w:ascii="Arial" w:hAnsi="Arial" w:cs="Arial"/>
        </w:rPr>
        <w:tab/>
      </w:r>
      <w:r w:rsidR="00B52C38" w:rsidRPr="00680F93">
        <w:rPr>
          <w:rFonts w:ascii="Arial" w:hAnsi="Arial" w:cs="Arial"/>
        </w:rPr>
        <w:t xml:space="preserve">The </w:t>
      </w:r>
      <w:r w:rsidR="00557ED1" w:rsidRPr="00680F93">
        <w:rPr>
          <w:rFonts w:ascii="Arial" w:hAnsi="Arial" w:cs="Arial"/>
        </w:rPr>
        <w:t>Fo</w:t>
      </w:r>
      <w:r w:rsidR="000A5BD2" w:rsidRPr="00680F93">
        <w:rPr>
          <w:rFonts w:ascii="Arial" w:hAnsi="Arial" w:cs="Arial"/>
        </w:rPr>
        <w:t>IA</w:t>
      </w:r>
      <w:r w:rsidR="00B52C38" w:rsidRPr="00680F93">
        <w:rPr>
          <w:rFonts w:ascii="Arial" w:hAnsi="Arial" w:cs="Arial"/>
        </w:rPr>
        <w:t xml:space="preserve"> states that anybody may request information from a public authority which has functions in Northern Ireland. </w:t>
      </w:r>
    </w:p>
    <w:p w14:paraId="307BD209" w14:textId="77777777" w:rsidR="00B52C38" w:rsidRPr="00680F93" w:rsidRDefault="00B52C38" w:rsidP="00680F93">
      <w:pPr>
        <w:spacing w:line="360" w:lineRule="auto"/>
        <w:rPr>
          <w:rFonts w:ascii="Arial" w:hAnsi="Arial" w:cs="Arial"/>
        </w:rPr>
      </w:pPr>
    </w:p>
    <w:p w14:paraId="19357684" w14:textId="77777777" w:rsidR="00B52C38" w:rsidRPr="00680F93" w:rsidRDefault="00430212" w:rsidP="00B03C0F">
      <w:pPr>
        <w:spacing w:line="360" w:lineRule="auto"/>
        <w:ind w:left="720" w:hanging="720"/>
        <w:rPr>
          <w:rFonts w:ascii="Arial" w:hAnsi="Arial" w:cs="Arial"/>
        </w:rPr>
      </w:pPr>
      <w:r>
        <w:rPr>
          <w:rFonts w:ascii="Arial" w:hAnsi="Arial" w:cs="Arial"/>
        </w:rPr>
        <w:t>4.2</w:t>
      </w:r>
      <w:r>
        <w:rPr>
          <w:rFonts w:ascii="Arial" w:hAnsi="Arial" w:cs="Arial"/>
        </w:rPr>
        <w:tab/>
      </w:r>
      <w:r w:rsidR="00B52C38" w:rsidRPr="00680F93">
        <w:rPr>
          <w:rFonts w:ascii="Arial" w:hAnsi="Arial" w:cs="Arial"/>
        </w:rPr>
        <w:t>Publication Schemes are intended to ensure that information is made available without the need for a specific request i.e. without the need for specific consideration under the F</w:t>
      </w:r>
      <w:r w:rsidR="00557ED1" w:rsidRPr="00680F93">
        <w:rPr>
          <w:rFonts w:ascii="Arial" w:hAnsi="Arial" w:cs="Arial"/>
        </w:rPr>
        <w:t>oIA</w:t>
      </w:r>
      <w:r w:rsidR="00B52C38" w:rsidRPr="00680F93">
        <w:rPr>
          <w:rFonts w:ascii="Arial" w:hAnsi="Arial" w:cs="Arial"/>
        </w:rPr>
        <w:t xml:space="preserve"> and to inform the public of the extent of material that is available. Our Scheme defines the types of information we publish (as required under Section 19 of the F</w:t>
      </w:r>
      <w:r w:rsidR="00557ED1" w:rsidRPr="00680F93">
        <w:rPr>
          <w:rFonts w:ascii="Arial" w:hAnsi="Arial" w:cs="Arial"/>
        </w:rPr>
        <w:t>oIA</w:t>
      </w:r>
      <w:r w:rsidR="00B52C38" w:rsidRPr="00680F93">
        <w:rPr>
          <w:rFonts w:ascii="Arial" w:hAnsi="Arial" w:cs="Arial"/>
        </w:rPr>
        <w:t xml:space="preserve"> and includes details about where you can find that information. </w:t>
      </w:r>
    </w:p>
    <w:p w14:paraId="3310783A" w14:textId="77777777" w:rsidR="00DA0631" w:rsidRPr="00680F93" w:rsidRDefault="00DA0631" w:rsidP="00680F93">
      <w:pPr>
        <w:spacing w:line="360" w:lineRule="auto"/>
        <w:rPr>
          <w:rFonts w:ascii="Arial" w:hAnsi="Arial" w:cs="Arial"/>
        </w:rPr>
      </w:pPr>
    </w:p>
    <w:p w14:paraId="19E10D7C" w14:textId="77777777" w:rsidR="00DA0631" w:rsidRPr="00680F93" w:rsidRDefault="00430212" w:rsidP="00B03C0F">
      <w:pPr>
        <w:spacing w:line="360" w:lineRule="auto"/>
        <w:ind w:left="720" w:hanging="720"/>
        <w:rPr>
          <w:rFonts w:ascii="Arial" w:hAnsi="Arial" w:cs="Arial"/>
        </w:rPr>
      </w:pPr>
      <w:r>
        <w:rPr>
          <w:rFonts w:ascii="Arial" w:hAnsi="Arial" w:cs="Arial"/>
        </w:rPr>
        <w:t>4.3</w:t>
      </w:r>
      <w:r>
        <w:rPr>
          <w:rFonts w:ascii="Arial" w:hAnsi="Arial" w:cs="Arial"/>
        </w:rPr>
        <w:tab/>
      </w:r>
      <w:r w:rsidR="00DA0631" w:rsidRPr="00680F93">
        <w:rPr>
          <w:rFonts w:ascii="Arial" w:hAnsi="Arial" w:cs="Arial"/>
        </w:rPr>
        <w:t>The Scheme should be your first reference point when looking for information (see Annex 1 a</w:t>
      </w:r>
      <w:r w:rsidR="00600714" w:rsidRPr="00680F93">
        <w:rPr>
          <w:rFonts w:ascii="Arial" w:hAnsi="Arial" w:cs="Arial"/>
        </w:rPr>
        <w:t>t pages 13-19</w:t>
      </w:r>
      <w:r w:rsidR="00DA0631" w:rsidRPr="00680F93">
        <w:rPr>
          <w:rFonts w:ascii="Arial" w:hAnsi="Arial" w:cs="Arial"/>
        </w:rPr>
        <w:t xml:space="preserve">). If an item or class of information does not appear on the Scheme, it may still be available under the provisions of the FoIA. </w:t>
      </w:r>
    </w:p>
    <w:p w14:paraId="69CEFB4D" w14:textId="77777777" w:rsidR="00DA0631" w:rsidRPr="00680F93" w:rsidRDefault="00DA0631" w:rsidP="00680F93">
      <w:pPr>
        <w:spacing w:line="360" w:lineRule="auto"/>
        <w:rPr>
          <w:rFonts w:ascii="Arial" w:hAnsi="Arial" w:cs="Arial"/>
        </w:rPr>
      </w:pPr>
    </w:p>
    <w:p w14:paraId="448BAE16" w14:textId="77777777" w:rsidR="00DA0631" w:rsidRPr="00680F93" w:rsidRDefault="00430212" w:rsidP="00B03C0F">
      <w:pPr>
        <w:spacing w:line="360" w:lineRule="auto"/>
        <w:ind w:left="720" w:hanging="720"/>
        <w:rPr>
          <w:rFonts w:ascii="Arial" w:hAnsi="Arial" w:cs="Arial"/>
        </w:rPr>
      </w:pPr>
      <w:r>
        <w:rPr>
          <w:rFonts w:ascii="Arial" w:hAnsi="Arial" w:cs="Arial"/>
        </w:rPr>
        <w:t>4.4</w:t>
      </w:r>
      <w:r>
        <w:rPr>
          <w:rFonts w:ascii="Arial" w:hAnsi="Arial" w:cs="Arial"/>
        </w:rPr>
        <w:tab/>
      </w:r>
      <w:r w:rsidR="00DA0631" w:rsidRPr="00680F93">
        <w:rPr>
          <w:rFonts w:ascii="Arial" w:hAnsi="Arial" w:cs="Arial"/>
        </w:rPr>
        <w:t xml:space="preserve">The Act confers two statutory rights on people making FoIA requests: </w:t>
      </w:r>
    </w:p>
    <w:p w14:paraId="3DA25829" w14:textId="77777777" w:rsidR="00DA0631" w:rsidRPr="00680F93" w:rsidRDefault="00DA0631" w:rsidP="00680F93">
      <w:pPr>
        <w:spacing w:line="360" w:lineRule="auto"/>
        <w:rPr>
          <w:rFonts w:ascii="Arial" w:hAnsi="Arial" w:cs="Arial"/>
        </w:rPr>
      </w:pPr>
    </w:p>
    <w:p w14:paraId="181CF264" w14:textId="77777777" w:rsidR="00DA0631" w:rsidRPr="00680F93" w:rsidRDefault="00DA0631" w:rsidP="00680F93">
      <w:pPr>
        <w:spacing w:line="360" w:lineRule="auto"/>
        <w:ind w:left="1134" w:hanging="567"/>
        <w:rPr>
          <w:rFonts w:ascii="Arial" w:hAnsi="Arial" w:cs="Arial"/>
        </w:rPr>
      </w:pPr>
      <w:r w:rsidRPr="00680F93">
        <w:rPr>
          <w:rFonts w:ascii="Arial" w:hAnsi="Arial" w:cs="Arial"/>
        </w:rPr>
        <w:t xml:space="preserve">• </w:t>
      </w:r>
      <w:r w:rsidRPr="00680F93">
        <w:rPr>
          <w:rFonts w:ascii="Arial" w:hAnsi="Arial" w:cs="Arial"/>
        </w:rPr>
        <w:tab/>
        <w:t xml:space="preserve">To be told in writing whether or not the public authority holds that information; and if so, </w:t>
      </w:r>
    </w:p>
    <w:p w14:paraId="298BA379" w14:textId="77777777" w:rsidR="00DA0631" w:rsidRPr="00680F93" w:rsidRDefault="00DA0631" w:rsidP="00680F93">
      <w:pPr>
        <w:spacing w:line="360" w:lineRule="auto"/>
        <w:ind w:left="1134" w:hanging="567"/>
        <w:rPr>
          <w:rFonts w:ascii="Arial" w:hAnsi="Arial" w:cs="Arial"/>
        </w:rPr>
      </w:pPr>
      <w:r w:rsidRPr="00680F93">
        <w:rPr>
          <w:rFonts w:ascii="Arial" w:hAnsi="Arial" w:cs="Arial"/>
        </w:rPr>
        <w:t xml:space="preserve">• </w:t>
      </w:r>
      <w:r w:rsidRPr="00680F93">
        <w:rPr>
          <w:rFonts w:ascii="Arial" w:hAnsi="Arial" w:cs="Arial"/>
        </w:rPr>
        <w:tab/>
        <w:t xml:space="preserve">To have that information communicated to them. </w:t>
      </w:r>
    </w:p>
    <w:p w14:paraId="6D0B14D3" w14:textId="77777777" w:rsidR="00DA0631" w:rsidRPr="00680F93" w:rsidRDefault="00DA0631" w:rsidP="00680F93">
      <w:pPr>
        <w:spacing w:line="360" w:lineRule="auto"/>
        <w:rPr>
          <w:rFonts w:ascii="Arial" w:hAnsi="Arial" w:cs="Arial"/>
        </w:rPr>
      </w:pPr>
    </w:p>
    <w:p w14:paraId="5D2AC183" w14:textId="77777777" w:rsidR="00DA0631" w:rsidRPr="00680F93" w:rsidRDefault="00430212" w:rsidP="00B03C0F">
      <w:pPr>
        <w:spacing w:line="360" w:lineRule="auto"/>
        <w:ind w:left="720" w:hanging="720"/>
        <w:rPr>
          <w:rFonts w:ascii="Arial" w:hAnsi="Arial" w:cs="Arial"/>
        </w:rPr>
      </w:pPr>
      <w:r>
        <w:rPr>
          <w:rFonts w:ascii="Arial" w:hAnsi="Arial" w:cs="Arial"/>
        </w:rPr>
        <w:t>4.5</w:t>
      </w:r>
      <w:r>
        <w:rPr>
          <w:rFonts w:ascii="Arial" w:hAnsi="Arial" w:cs="Arial"/>
        </w:rPr>
        <w:tab/>
      </w:r>
      <w:r w:rsidR="00DA0631" w:rsidRPr="00680F93">
        <w:rPr>
          <w:rFonts w:ascii="Arial" w:hAnsi="Arial" w:cs="Arial"/>
        </w:rPr>
        <w:t xml:space="preserve">Upon receiving a request for information, </w:t>
      </w:r>
      <w:r w:rsidR="00B03C0F">
        <w:rPr>
          <w:rFonts w:ascii="Arial" w:hAnsi="Arial" w:cs="Arial"/>
        </w:rPr>
        <w:t>NIJAC</w:t>
      </w:r>
      <w:r w:rsidR="00DA0631" w:rsidRPr="00680F93">
        <w:rPr>
          <w:rFonts w:ascii="Arial" w:hAnsi="Arial" w:cs="Arial"/>
        </w:rPr>
        <w:t xml:space="preserve"> will indicate to you whether we have the information you seek and if it is available.</w:t>
      </w:r>
    </w:p>
    <w:p w14:paraId="4C4E96EE" w14:textId="77777777" w:rsidR="00DA0631" w:rsidRPr="00680F93" w:rsidRDefault="00DA0631" w:rsidP="00680F93">
      <w:pPr>
        <w:spacing w:line="360" w:lineRule="auto"/>
        <w:rPr>
          <w:rFonts w:ascii="Arial" w:hAnsi="Arial" w:cs="Arial"/>
        </w:rPr>
      </w:pPr>
    </w:p>
    <w:p w14:paraId="7E010837" w14:textId="77777777" w:rsidR="00DA0631" w:rsidRPr="00680F93" w:rsidRDefault="00430212" w:rsidP="00B03C0F">
      <w:pPr>
        <w:spacing w:line="360" w:lineRule="auto"/>
        <w:ind w:left="720" w:hanging="720"/>
        <w:rPr>
          <w:rFonts w:ascii="Arial" w:hAnsi="Arial" w:cs="Arial"/>
        </w:rPr>
      </w:pPr>
      <w:r>
        <w:rPr>
          <w:rFonts w:ascii="Arial" w:hAnsi="Arial" w:cs="Arial"/>
        </w:rPr>
        <w:t>4.6</w:t>
      </w:r>
      <w:r>
        <w:rPr>
          <w:rFonts w:ascii="Arial" w:hAnsi="Arial" w:cs="Arial"/>
        </w:rPr>
        <w:tab/>
      </w:r>
      <w:r w:rsidR="00DA0631" w:rsidRPr="00680F93">
        <w:rPr>
          <w:rFonts w:ascii="Arial" w:hAnsi="Arial" w:cs="Arial"/>
        </w:rPr>
        <w:t>If there is a charge, we will notify you at that point. If we do not hold the information, we will try to indicate, for example, which government department may hold it.</w:t>
      </w:r>
    </w:p>
    <w:p w14:paraId="08A52B6E" w14:textId="77777777" w:rsidR="00DA0631" w:rsidRPr="00680F93" w:rsidRDefault="00DA0631" w:rsidP="00680F93">
      <w:pPr>
        <w:spacing w:line="360" w:lineRule="auto"/>
        <w:rPr>
          <w:rFonts w:ascii="Arial" w:hAnsi="Arial" w:cs="Arial"/>
        </w:rPr>
      </w:pPr>
    </w:p>
    <w:p w14:paraId="437FE1C5" w14:textId="1F2454E8" w:rsidR="00B52C38" w:rsidRPr="00680F93" w:rsidRDefault="00430212" w:rsidP="00B03C0F">
      <w:pPr>
        <w:spacing w:line="360" w:lineRule="auto"/>
        <w:ind w:left="720" w:hanging="720"/>
        <w:rPr>
          <w:rFonts w:ascii="Arial" w:hAnsi="Arial" w:cs="Arial"/>
        </w:rPr>
      </w:pPr>
      <w:r>
        <w:rPr>
          <w:rFonts w:ascii="Arial" w:hAnsi="Arial" w:cs="Arial"/>
        </w:rPr>
        <w:t>4.7</w:t>
      </w:r>
      <w:r>
        <w:rPr>
          <w:rFonts w:ascii="Arial" w:hAnsi="Arial" w:cs="Arial"/>
        </w:rPr>
        <w:tab/>
      </w:r>
      <w:r w:rsidR="00557ED1" w:rsidRPr="00680F93">
        <w:rPr>
          <w:rFonts w:ascii="Arial" w:hAnsi="Arial" w:cs="Arial"/>
        </w:rPr>
        <w:t>While w</w:t>
      </w:r>
      <w:r w:rsidR="00B52C38" w:rsidRPr="00680F93">
        <w:rPr>
          <w:rFonts w:ascii="Arial" w:hAnsi="Arial" w:cs="Arial"/>
        </w:rPr>
        <w:t xml:space="preserve">e have adopted the </w:t>
      </w:r>
      <w:hyperlink r:id="rId10" w:history="1">
        <w:r w:rsidR="00B52C38" w:rsidRPr="00E6492C">
          <w:rPr>
            <w:rStyle w:val="Hyperlink"/>
            <w:rFonts w:ascii="Arial" w:hAnsi="Arial" w:cs="Arial"/>
          </w:rPr>
          <w:t>Information Commissioner’s Model Publication Scheme</w:t>
        </w:r>
      </w:hyperlink>
      <w:r w:rsidR="00557ED1" w:rsidRPr="00680F93">
        <w:rPr>
          <w:rFonts w:ascii="Arial" w:hAnsi="Arial" w:cs="Arial"/>
        </w:rPr>
        <w:t xml:space="preserve"> p</w:t>
      </w:r>
      <w:r w:rsidR="00B52C38" w:rsidRPr="00680F93">
        <w:rPr>
          <w:rFonts w:ascii="Arial" w:hAnsi="Arial" w:cs="Arial"/>
        </w:rPr>
        <w:t xml:space="preserve">lease note that </w:t>
      </w:r>
      <w:r w:rsidR="00DA0631" w:rsidRPr="00680F93">
        <w:rPr>
          <w:rFonts w:ascii="Arial" w:hAnsi="Arial" w:cs="Arial"/>
        </w:rPr>
        <w:t xml:space="preserve">certain </w:t>
      </w:r>
      <w:r w:rsidR="00B52C38" w:rsidRPr="00680F93">
        <w:rPr>
          <w:rFonts w:ascii="Arial" w:hAnsi="Arial" w:cs="Arial"/>
        </w:rPr>
        <w:t>information</w:t>
      </w:r>
      <w:r w:rsidR="00DA0631" w:rsidRPr="00680F93">
        <w:rPr>
          <w:rFonts w:ascii="Arial" w:hAnsi="Arial" w:cs="Arial"/>
        </w:rPr>
        <w:t>,</w:t>
      </w:r>
      <w:r w:rsidR="00B52C38" w:rsidRPr="00680F93">
        <w:rPr>
          <w:rFonts w:ascii="Arial" w:hAnsi="Arial" w:cs="Arial"/>
        </w:rPr>
        <w:t xml:space="preserve"> which </w:t>
      </w:r>
      <w:r w:rsidR="00DA0631" w:rsidRPr="00680F93">
        <w:rPr>
          <w:rFonts w:ascii="Arial" w:hAnsi="Arial" w:cs="Arial"/>
        </w:rPr>
        <w:t xml:space="preserve">would be considered to prejudice or would be likely </w:t>
      </w:r>
      <w:r w:rsidR="005D04F0" w:rsidRPr="00680F93">
        <w:rPr>
          <w:rFonts w:ascii="Arial" w:hAnsi="Arial" w:cs="Arial"/>
        </w:rPr>
        <w:t xml:space="preserve">to </w:t>
      </w:r>
      <w:r w:rsidR="00600714" w:rsidRPr="00680F93">
        <w:rPr>
          <w:rFonts w:ascii="Arial" w:hAnsi="Arial" w:cs="Arial"/>
        </w:rPr>
        <w:t>prejudice</w:t>
      </w:r>
      <w:r w:rsidR="00DA0631" w:rsidRPr="00680F93">
        <w:rPr>
          <w:rFonts w:ascii="Arial" w:hAnsi="Arial" w:cs="Arial"/>
        </w:rPr>
        <w:t xml:space="preserve"> the effective </w:t>
      </w:r>
      <w:r w:rsidR="00DA0631" w:rsidRPr="00680F93">
        <w:rPr>
          <w:rFonts w:ascii="Arial" w:hAnsi="Arial" w:cs="Arial"/>
        </w:rPr>
        <w:lastRenderedPageBreak/>
        <w:t>conduct of public affairs</w:t>
      </w:r>
      <w:r w:rsidR="00600714" w:rsidRPr="00680F93">
        <w:rPr>
          <w:rFonts w:ascii="Arial" w:hAnsi="Arial" w:cs="Arial"/>
        </w:rPr>
        <w:t>,</w:t>
      </w:r>
      <w:r w:rsidR="00DA0631" w:rsidRPr="00680F93">
        <w:rPr>
          <w:rFonts w:ascii="Arial" w:hAnsi="Arial" w:cs="Arial"/>
        </w:rPr>
        <w:t xml:space="preserve"> </w:t>
      </w:r>
      <w:r w:rsidR="00B52C38" w:rsidRPr="00680F93">
        <w:rPr>
          <w:rFonts w:ascii="Arial" w:hAnsi="Arial" w:cs="Arial"/>
        </w:rPr>
        <w:t xml:space="preserve">would be exempt under </w:t>
      </w:r>
      <w:r w:rsidR="00DA0631" w:rsidRPr="00680F93">
        <w:rPr>
          <w:rFonts w:ascii="Arial" w:hAnsi="Arial" w:cs="Arial"/>
        </w:rPr>
        <w:t xml:space="preserve">the FoIA Part II section 36 (c) (2). </w:t>
      </w:r>
      <w:r w:rsidR="00B52C38" w:rsidRPr="00680F93">
        <w:rPr>
          <w:rFonts w:ascii="Arial" w:hAnsi="Arial" w:cs="Arial"/>
        </w:rPr>
        <w:t xml:space="preserve">Such information may </w:t>
      </w:r>
      <w:r w:rsidR="007C27CC" w:rsidRPr="00680F93">
        <w:rPr>
          <w:rFonts w:ascii="Arial" w:hAnsi="Arial" w:cs="Arial"/>
        </w:rPr>
        <w:t xml:space="preserve">not be released or may be </w:t>
      </w:r>
      <w:r w:rsidR="00DA0631" w:rsidRPr="00680F93">
        <w:rPr>
          <w:rFonts w:ascii="Arial" w:hAnsi="Arial" w:cs="Arial"/>
        </w:rPr>
        <w:t>redacted</w:t>
      </w:r>
      <w:r w:rsidR="00B52C38" w:rsidRPr="00680F93">
        <w:rPr>
          <w:rFonts w:ascii="Arial" w:hAnsi="Arial" w:cs="Arial"/>
        </w:rPr>
        <w:t xml:space="preserve"> out of documents </w:t>
      </w:r>
      <w:r w:rsidR="007C27CC" w:rsidRPr="00680F93">
        <w:rPr>
          <w:rFonts w:ascii="Arial" w:hAnsi="Arial" w:cs="Arial"/>
        </w:rPr>
        <w:t xml:space="preserve">provided </w:t>
      </w:r>
      <w:r w:rsidR="00B52C38" w:rsidRPr="00680F93">
        <w:rPr>
          <w:rFonts w:ascii="Arial" w:hAnsi="Arial" w:cs="Arial"/>
        </w:rPr>
        <w:t xml:space="preserve">under the Scheme. </w:t>
      </w:r>
    </w:p>
    <w:p w14:paraId="1C050EFF" w14:textId="77777777" w:rsidR="00B52C38" w:rsidRPr="00680F93" w:rsidRDefault="00B52C38" w:rsidP="00680F93">
      <w:pPr>
        <w:spacing w:line="360" w:lineRule="auto"/>
        <w:rPr>
          <w:rFonts w:ascii="Arial" w:hAnsi="Arial" w:cs="Arial"/>
          <w:b/>
        </w:rPr>
      </w:pPr>
    </w:p>
    <w:p w14:paraId="091D0A9B" w14:textId="77777777" w:rsidR="00B52C38" w:rsidRPr="00680F93" w:rsidRDefault="00430212" w:rsidP="00B03C0F">
      <w:pPr>
        <w:spacing w:line="360" w:lineRule="auto"/>
        <w:ind w:left="720" w:hanging="720"/>
        <w:rPr>
          <w:rFonts w:ascii="Arial" w:hAnsi="Arial" w:cs="Arial"/>
        </w:rPr>
      </w:pPr>
      <w:r>
        <w:rPr>
          <w:rFonts w:ascii="Arial" w:hAnsi="Arial" w:cs="Arial"/>
        </w:rPr>
        <w:t>4.8</w:t>
      </w:r>
      <w:r>
        <w:rPr>
          <w:rFonts w:ascii="Arial" w:hAnsi="Arial" w:cs="Arial"/>
        </w:rPr>
        <w:tab/>
      </w:r>
      <w:r w:rsidR="00B52C38" w:rsidRPr="00680F93">
        <w:rPr>
          <w:rFonts w:ascii="Arial" w:hAnsi="Arial" w:cs="Arial"/>
        </w:rPr>
        <w:t xml:space="preserve">A significant proportion of the information that </w:t>
      </w:r>
      <w:r w:rsidR="00B03C0F">
        <w:rPr>
          <w:rFonts w:ascii="Arial" w:hAnsi="Arial" w:cs="Arial"/>
        </w:rPr>
        <w:t>NIJAC</w:t>
      </w:r>
      <w:r w:rsidR="00B52C38" w:rsidRPr="00680F93">
        <w:rPr>
          <w:rFonts w:ascii="Arial" w:hAnsi="Arial" w:cs="Arial"/>
        </w:rPr>
        <w:t xml:space="preserve"> hold</w:t>
      </w:r>
      <w:r w:rsidR="00B03C0F">
        <w:rPr>
          <w:rFonts w:ascii="Arial" w:hAnsi="Arial" w:cs="Arial"/>
        </w:rPr>
        <w:t>s</w:t>
      </w:r>
      <w:r w:rsidR="00B52C38" w:rsidRPr="00680F93">
        <w:rPr>
          <w:rFonts w:ascii="Arial" w:hAnsi="Arial" w:cs="Arial"/>
        </w:rPr>
        <w:t xml:space="preserve"> is ‘personal data’. The Data Protection Act </w:t>
      </w:r>
      <w:r w:rsidR="00873983">
        <w:rPr>
          <w:rFonts w:ascii="Arial" w:hAnsi="Arial" w:cs="Arial"/>
        </w:rPr>
        <w:t>201</w:t>
      </w:r>
      <w:r w:rsidR="00557ED1" w:rsidRPr="00680F93">
        <w:rPr>
          <w:rFonts w:ascii="Arial" w:hAnsi="Arial" w:cs="Arial"/>
        </w:rPr>
        <w:t xml:space="preserve">8 (DPA) </w:t>
      </w:r>
      <w:r w:rsidR="00B52C38" w:rsidRPr="00680F93">
        <w:rPr>
          <w:rFonts w:ascii="Arial" w:hAnsi="Arial" w:cs="Arial"/>
        </w:rPr>
        <w:t xml:space="preserve">as a general rule states that a person has a right </w:t>
      </w:r>
      <w:r w:rsidR="009E5488">
        <w:rPr>
          <w:rFonts w:ascii="Arial" w:hAnsi="Arial" w:cs="Arial"/>
        </w:rPr>
        <w:t>of access to</w:t>
      </w:r>
      <w:r w:rsidR="00B52C38" w:rsidRPr="00680F93">
        <w:rPr>
          <w:rFonts w:ascii="Arial" w:hAnsi="Arial" w:cs="Arial"/>
        </w:rPr>
        <w:t xml:space="preserve"> information held relating to him</w:t>
      </w:r>
      <w:r w:rsidR="009E5488">
        <w:rPr>
          <w:rFonts w:ascii="Arial" w:hAnsi="Arial" w:cs="Arial"/>
        </w:rPr>
        <w:t xml:space="preserve"> and confirmation that information relating to him is being held</w:t>
      </w:r>
      <w:r w:rsidR="00600714" w:rsidRPr="00680F93">
        <w:rPr>
          <w:rFonts w:ascii="Arial" w:hAnsi="Arial" w:cs="Arial"/>
        </w:rPr>
        <w:t>;</w:t>
      </w:r>
      <w:r w:rsidR="00B52C38" w:rsidRPr="00680F93">
        <w:rPr>
          <w:rFonts w:ascii="Arial" w:hAnsi="Arial" w:cs="Arial"/>
        </w:rPr>
        <w:t xml:space="preserve"> it also recognises that there are valid reasons for withholding information. </w:t>
      </w:r>
    </w:p>
    <w:p w14:paraId="3A2C981A" w14:textId="77777777" w:rsidR="00B52C38" w:rsidRPr="00680F93" w:rsidRDefault="00B52C38" w:rsidP="00680F93">
      <w:pPr>
        <w:spacing w:line="360" w:lineRule="auto"/>
        <w:rPr>
          <w:rFonts w:ascii="Arial" w:hAnsi="Arial" w:cs="Arial"/>
        </w:rPr>
      </w:pPr>
    </w:p>
    <w:p w14:paraId="5BD3F556" w14:textId="77777777" w:rsidR="00B52C38" w:rsidRPr="00680F93" w:rsidRDefault="00430212" w:rsidP="00B03C0F">
      <w:pPr>
        <w:spacing w:line="360" w:lineRule="auto"/>
        <w:ind w:left="720" w:hanging="720"/>
        <w:rPr>
          <w:rFonts w:ascii="Arial" w:hAnsi="Arial" w:cs="Arial"/>
        </w:rPr>
      </w:pPr>
      <w:r>
        <w:rPr>
          <w:rFonts w:ascii="Arial" w:hAnsi="Arial" w:cs="Arial"/>
        </w:rPr>
        <w:t>4.9</w:t>
      </w:r>
      <w:r>
        <w:rPr>
          <w:rFonts w:ascii="Arial" w:hAnsi="Arial" w:cs="Arial"/>
        </w:rPr>
        <w:tab/>
      </w:r>
      <w:r w:rsidR="00B742C6">
        <w:rPr>
          <w:rFonts w:ascii="Arial" w:hAnsi="Arial" w:cs="Arial"/>
        </w:rPr>
        <w:t xml:space="preserve">The </w:t>
      </w:r>
      <w:r w:rsidR="00557ED1" w:rsidRPr="00680F93">
        <w:rPr>
          <w:rFonts w:ascii="Arial" w:hAnsi="Arial" w:cs="Arial"/>
        </w:rPr>
        <w:t>DPA</w:t>
      </w:r>
      <w:r w:rsidR="00B52C38" w:rsidRPr="00680F93">
        <w:rPr>
          <w:rFonts w:ascii="Arial" w:hAnsi="Arial" w:cs="Arial"/>
        </w:rPr>
        <w:t xml:space="preserve"> sets out a number of exemptions from disclosure </w:t>
      </w:r>
      <w:r w:rsidR="009E5488">
        <w:rPr>
          <w:rFonts w:ascii="Arial" w:hAnsi="Arial" w:cs="Arial"/>
        </w:rPr>
        <w:t xml:space="preserve">and it is noted that Section 14 (1) to Part 2 of Schedule 2 of the DPA provides an exemption from the General Data Protection Regulations (GDPR) provisions where data is processed for the purposes of “ … </w:t>
      </w:r>
      <w:r w:rsidR="009E5488" w:rsidRPr="009E5488">
        <w:rPr>
          <w:rFonts w:ascii="Arial" w:hAnsi="Arial" w:cs="Arial"/>
          <w:i/>
        </w:rPr>
        <w:t>assessing a person’s suitability for judicial office</w:t>
      </w:r>
      <w:r w:rsidR="009E5488">
        <w:rPr>
          <w:rFonts w:ascii="Arial" w:hAnsi="Arial" w:cs="Arial"/>
        </w:rPr>
        <w:t>”</w:t>
      </w:r>
      <w:r w:rsidR="00B52C38" w:rsidRPr="00680F93">
        <w:rPr>
          <w:rFonts w:ascii="Arial" w:hAnsi="Arial" w:cs="Arial"/>
        </w:rPr>
        <w:t>. Section 40 of the F</w:t>
      </w:r>
      <w:r w:rsidR="00557ED1" w:rsidRPr="00680F93">
        <w:rPr>
          <w:rFonts w:ascii="Arial" w:hAnsi="Arial" w:cs="Arial"/>
        </w:rPr>
        <w:t>oIA</w:t>
      </w:r>
      <w:r w:rsidR="00B52C38" w:rsidRPr="00680F93">
        <w:rPr>
          <w:rFonts w:ascii="Arial" w:hAnsi="Arial" w:cs="Arial"/>
        </w:rPr>
        <w:t xml:space="preserve"> se</w:t>
      </w:r>
      <w:r w:rsidR="005D04F0" w:rsidRPr="00680F93">
        <w:rPr>
          <w:rFonts w:ascii="Arial" w:hAnsi="Arial" w:cs="Arial"/>
        </w:rPr>
        <w:t>ts out the absolute exemption regarding</w:t>
      </w:r>
      <w:r w:rsidR="00B52C38" w:rsidRPr="00680F93">
        <w:rPr>
          <w:rFonts w:ascii="Arial" w:hAnsi="Arial" w:cs="Arial"/>
        </w:rPr>
        <w:t xml:space="preserve"> access to information where the information requested relates to personal data. </w:t>
      </w:r>
    </w:p>
    <w:p w14:paraId="6D77C08D" w14:textId="77777777" w:rsidR="00B52C38" w:rsidRPr="00680F93" w:rsidRDefault="00B52C38" w:rsidP="00680F93">
      <w:pPr>
        <w:spacing w:line="360" w:lineRule="auto"/>
        <w:rPr>
          <w:rFonts w:ascii="Arial" w:hAnsi="Arial" w:cs="Arial"/>
        </w:rPr>
      </w:pPr>
    </w:p>
    <w:p w14:paraId="2622D909" w14:textId="77777777" w:rsidR="00B52C38" w:rsidRPr="00680F93" w:rsidRDefault="00430212" w:rsidP="00B03C0F">
      <w:pPr>
        <w:spacing w:line="360" w:lineRule="auto"/>
        <w:ind w:left="720" w:hanging="720"/>
        <w:rPr>
          <w:rFonts w:ascii="Arial" w:hAnsi="Arial" w:cs="Arial"/>
        </w:rPr>
      </w:pPr>
      <w:r>
        <w:rPr>
          <w:rFonts w:ascii="Arial" w:hAnsi="Arial" w:cs="Arial"/>
        </w:rPr>
        <w:t>4.10</w:t>
      </w:r>
      <w:r>
        <w:rPr>
          <w:rFonts w:ascii="Arial" w:hAnsi="Arial" w:cs="Arial"/>
        </w:rPr>
        <w:tab/>
      </w:r>
      <w:r w:rsidR="00B52C38" w:rsidRPr="00680F93">
        <w:rPr>
          <w:rFonts w:ascii="Arial" w:hAnsi="Arial" w:cs="Arial"/>
        </w:rPr>
        <w:t>In this context ‘personal data’ has the same meaning as in the D</w:t>
      </w:r>
      <w:r w:rsidR="00557ED1" w:rsidRPr="00680F93">
        <w:rPr>
          <w:rFonts w:ascii="Arial" w:hAnsi="Arial" w:cs="Arial"/>
        </w:rPr>
        <w:t>PA</w:t>
      </w:r>
      <w:r w:rsidR="007C27CC" w:rsidRPr="00680F93">
        <w:rPr>
          <w:rFonts w:ascii="Arial" w:hAnsi="Arial" w:cs="Arial"/>
        </w:rPr>
        <w:t>,</w:t>
      </w:r>
      <w:r w:rsidR="00557ED1" w:rsidRPr="00680F93">
        <w:rPr>
          <w:rFonts w:ascii="Arial" w:hAnsi="Arial" w:cs="Arial"/>
        </w:rPr>
        <w:t xml:space="preserve"> which also includes </w:t>
      </w:r>
      <w:r w:rsidR="00873983">
        <w:rPr>
          <w:rFonts w:ascii="Arial" w:hAnsi="Arial" w:cs="Arial"/>
        </w:rPr>
        <w:t xml:space="preserve">a range of exemptions (s14 of Part 2 to Schedule 2) from Articles 13-21 and Article 34 of the General Data Protection Regulations (EU 2016/679) </w:t>
      </w:r>
      <w:r w:rsidR="00557ED1" w:rsidRPr="00680F93">
        <w:rPr>
          <w:rFonts w:ascii="Arial" w:hAnsi="Arial" w:cs="Arial"/>
        </w:rPr>
        <w:t>on</w:t>
      </w:r>
      <w:r w:rsidR="00B52C38" w:rsidRPr="00680F93">
        <w:rPr>
          <w:rFonts w:ascii="Arial" w:hAnsi="Arial" w:cs="Arial"/>
        </w:rPr>
        <w:t xml:space="preserve"> the disclosure of personal data processed for the purpose of assessing </w:t>
      </w:r>
      <w:r w:rsidR="00873983">
        <w:rPr>
          <w:rFonts w:ascii="Arial" w:hAnsi="Arial" w:cs="Arial"/>
        </w:rPr>
        <w:t xml:space="preserve">a person’s </w:t>
      </w:r>
      <w:r w:rsidR="00B52C38" w:rsidRPr="00680F93">
        <w:rPr>
          <w:rFonts w:ascii="Arial" w:hAnsi="Arial" w:cs="Arial"/>
        </w:rPr>
        <w:t>suitability for judicial</w:t>
      </w:r>
      <w:r w:rsidR="007C27CC" w:rsidRPr="00680F93">
        <w:rPr>
          <w:rFonts w:ascii="Arial" w:hAnsi="Arial" w:cs="Arial"/>
        </w:rPr>
        <w:t xml:space="preserve"> office</w:t>
      </w:r>
      <w:r w:rsidR="00B52C38" w:rsidRPr="00680F93">
        <w:rPr>
          <w:rFonts w:ascii="Arial" w:hAnsi="Arial" w:cs="Arial"/>
        </w:rPr>
        <w:t xml:space="preserve">. </w:t>
      </w:r>
    </w:p>
    <w:p w14:paraId="21ECF2D5" w14:textId="77777777" w:rsidR="00B52C38" w:rsidRPr="00680F93" w:rsidRDefault="00B52C38" w:rsidP="00680F93">
      <w:pPr>
        <w:spacing w:line="360" w:lineRule="auto"/>
        <w:rPr>
          <w:rFonts w:ascii="Arial" w:hAnsi="Arial" w:cs="Arial"/>
        </w:rPr>
      </w:pPr>
    </w:p>
    <w:p w14:paraId="1A2C9093" w14:textId="77777777" w:rsidR="00B52C38" w:rsidRDefault="00430212" w:rsidP="00B03C0F">
      <w:pPr>
        <w:spacing w:line="360" w:lineRule="auto"/>
        <w:ind w:left="720" w:hanging="720"/>
        <w:rPr>
          <w:rFonts w:ascii="Arial" w:hAnsi="Arial" w:cs="Arial"/>
        </w:rPr>
      </w:pPr>
      <w:r>
        <w:rPr>
          <w:rFonts w:ascii="Arial" w:hAnsi="Arial" w:cs="Arial"/>
        </w:rPr>
        <w:t>4.11</w:t>
      </w:r>
      <w:r>
        <w:rPr>
          <w:rFonts w:ascii="Arial" w:hAnsi="Arial" w:cs="Arial"/>
        </w:rPr>
        <w:tab/>
      </w:r>
      <w:r w:rsidR="00B52C38" w:rsidRPr="00680F93">
        <w:rPr>
          <w:rFonts w:ascii="Arial" w:hAnsi="Arial" w:cs="Arial"/>
        </w:rPr>
        <w:t xml:space="preserve">NIJAC regards the following information as “personal data processed for the purpose of assessing </w:t>
      </w:r>
      <w:r w:rsidR="00873983">
        <w:rPr>
          <w:rFonts w:ascii="Arial" w:hAnsi="Arial" w:cs="Arial"/>
        </w:rPr>
        <w:t xml:space="preserve">a person’s </w:t>
      </w:r>
      <w:r w:rsidR="00B52C38" w:rsidRPr="00680F93">
        <w:rPr>
          <w:rFonts w:ascii="Arial" w:hAnsi="Arial" w:cs="Arial"/>
        </w:rPr>
        <w:t>suitability for judicial office”:</w:t>
      </w:r>
    </w:p>
    <w:p w14:paraId="3AB31DE9" w14:textId="77777777" w:rsidR="00B52C38" w:rsidRPr="00680F93" w:rsidRDefault="00B52C38" w:rsidP="00680F93">
      <w:pPr>
        <w:spacing w:line="360" w:lineRule="auto"/>
        <w:rPr>
          <w:rFonts w:ascii="Arial" w:hAnsi="Arial" w:cs="Arial"/>
        </w:rPr>
      </w:pPr>
    </w:p>
    <w:p w14:paraId="048F4A91" w14:textId="77777777" w:rsidR="00B52C38" w:rsidRPr="00680F93" w:rsidRDefault="00B52C38" w:rsidP="00680F93">
      <w:pPr>
        <w:pStyle w:val="ListParagraph"/>
        <w:numPr>
          <w:ilvl w:val="0"/>
          <w:numId w:val="29"/>
        </w:numPr>
        <w:spacing w:line="360" w:lineRule="auto"/>
        <w:ind w:left="1134" w:hanging="567"/>
        <w:contextualSpacing/>
        <w:rPr>
          <w:rFonts w:ascii="Arial" w:hAnsi="Arial" w:cs="Arial"/>
          <w:b/>
        </w:rPr>
      </w:pPr>
      <w:r w:rsidRPr="00680F93">
        <w:rPr>
          <w:rFonts w:ascii="Arial" w:hAnsi="Arial" w:cs="Arial"/>
          <w:b/>
        </w:rPr>
        <w:t xml:space="preserve">Applicants' assessment scripts; </w:t>
      </w:r>
    </w:p>
    <w:p w14:paraId="082C44C4" w14:textId="77777777" w:rsidR="00B52C38" w:rsidRPr="00680F93" w:rsidRDefault="00B52C38" w:rsidP="00680F93">
      <w:pPr>
        <w:pStyle w:val="ListParagraph"/>
        <w:numPr>
          <w:ilvl w:val="0"/>
          <w:numId w:val="29"/>
        </w:numPr>
        <w:spacing w:line="360" w:lineRule="auto"/>
        <w:ind w:left="1134" w:hanging="567"/>
        <w:contextualSpacing/>
        <w:rPr>
          <w:rFonts w:ascii="Arial" w:hAnsi="Arial" w:cs="Arial"/>
          <w:b/>
        </w:rPr>
      </w:pPr>
      <w:r w:rsidRPr="00680F93">
        <w:rPr>
          <w:rFonts w:ascii="Arial" w:hAnsi="Arial" w:cs="Arial"/>
          <w:b/>
        </w:rPr>
        <w:t>Applicants' scores at the a</w:t>
      </w:r>
      <w:r w:rsidR="003E0BA9">
        <w:rPr>
          <w:rFonts w:ascii="Arial" w:hAnsi="Arial" w:cs="Arial"/>
          <w:b/>
        </w:rPr>
        <w:t>ssessment and selection process</w:t>
      </w:r>
      <w:r w:rsidRPr="00680F93">
        <w:rPr>
          <w:rFonts w:ascii="Arial" w:hAnsi="Arial" w:cs="Arial"/>
          <w:b/>
        </w:rPr>
        <w:t xml:space="preserve">; </w:t>
      </w:r>
    </w:p>
    <w:p w14:paraId="2556CD80" w14:textId="77777777" w:rsidR="00B52C38" w:rsidRPr="003E0BA9" w:rsidRDefault="00B52C38" w:rsidP="00680F93">
      <w:pPr>
        <w:pStyle w:val="ListParagraph"/>
        <w:numPr>
          <w:ilvl w:val="0"/>
          <w:numId w:val="29"/>
        </w:numPr>
        <w:spacing w:line="360" w:lineRule="auto"/>
        <w:ind w:left="1134" w:hanging="567"/>
        <w:contextualSpacing/>
        <w:rPr>
          <w:rFonts w:ascii="Arial" w:hAnsi="Arial" w:cs="Arial"/>
          <w:b/>
        </w:rPr>
      </w:pPr>
      <w:r w:rsidRPr="00680F93">
        <w:rPr>
          <w:rFonts w:ascii="Arial" w:hAnsi="Arial" w:cs="Arial"/>
          <w:b/>
        </w:rPr>
        <w:t>Applicants' position on any merit list;</w:t>
      </w:r>
    </w:p>
    <w:p w14:paraId="0E16671E" w14:textId="77777777" w:rsidR="00B52C38" w:rsidRPr="00680F93" w:rsidRDefault="00B52C38" w:rsidP="00680F93">
      <w:pPr>
        <w:pStyle w:val="ListParagraph"/>
        <w:numPr>
          <w:ilvl w:val="0"/>
          <w:numId w:val="29"/>
        </w:numPr>
        <w:spacing w:line="360" w:lineRule="auto"/>
        <w:ind w:left="1134" w:hanging="567"/>
        <w:contextualSpacing/>
        <w:rPr>
          <w:rFonts w:ascii="Arial" w:hAnsi="Arial" w:cs="Arial"/>
          <w:b/>
        </w:rPr>
      </w:pPr>
      <w:r w:rsidRPr="00680F93">
        <w:rPr>
          <w:rFonts w:ascii="Arial" w:hAnsi="Arial" w:cs="Arial"/>
          <w:b/>
        </w:rPr>
        <w:t xml:space="preserve">Any notes made by Selection Committee Members at any stage of the assessment and selection process; </w:t>
      </w:r>
    </w:p>
    <w:p w14:paraId="0C7EA58B" w14:textId="77777777" w:rsidR="00B52C38" w:rsidRPr="00204E88" w:rsidRDefault="00B52C38" w:rsidP="00680F93">
      <w:pPr>
        <w:pStyle w:val="ListParagraph"/>
        <w:numPr>
          <w:ilvl w:val="0"/>
          <w:numId w:val="29"/>
        </w:numPr>
        <w:spacing w:line="360" w:lineRule="auto"/>
        <w:ind w:left="1134" w:hanging="567"/>
        <w:contextualSpacing/>
        <w:rPr>
          <w:rFonts w:ascii="Arial" w:hAnsi="Arial" w:cs="Arial"/>
          <w:b/>
        </w:rPr>
      </w:pPr>
      <w:r w:rsidRPr="00680F93">
        <w:rPr>
          <w:rFonts w:ascii="Arial" w:hAnsi="Arial" w:cs="Arial"/>
          <w:b/>
        </w:rPr>
        <w:t>Recordings (including audio, video or transcripts) of any stage of the assessment and selection process;</w:t>
      </w:r>
    </w:p>
    <w:p w14:paraId="71A18F73" w14:textId="77777777" w:rsidR="00B52C38" w:rsidRPr="00680F93" w:rsidRDefault="00B52C38" w:rsidP="00680F93">
      <w:pPr>
        <w:pStyle w:val="ListParagraph"/>
        <w:numPr>
          <w:ilvl w:val="0"/>
          <w:numId w:val="29"/>
        </w:numPr>
        <w:spacing w:line="360" w:lineRule="auto"/>
        <w:ind w:left="1134" w:hanging="567"/>
        <w:contextualSpacing/>
        <w:rPr>
          <w:rFonts w:ascii="Arial" w:hAnsi="Arial" w:cs="Arial"/>
          <w:b/>
        </w:rPr>
      </w:pPr>
      <w:r w:rsidRPr="00680F93">
        <w:rPr>
          <w:rFonts w:ascii="Arial" w:hAnsi="Arial" w:cs="Arial"/>
          <w:b/>
        </w:rPr>
        <w:lastRenderedPageBreak/>
        <w:t xml:space="preserve">Minutes of Selection Committee and other Committee meetings where the assessment and selection of applicants has been mentioned; </w:t>
      </w:r>
    </w:p>
    <w:p w14:paraId="5E091354" w14:textId="77777777" w:rsidR="00B52C38" w:rsidRPr="00680F93" w:rsidRDefault="0052001E" w:rsidP="00680F93">
      <w:pPr>
        <w:pStyle w:val="ListParagraph"/>
        <w:numPr>
          <w:ilvl w:val="0"/>
          <w:numId w:val="29"/>
        </w:numPr>
        <w:spacing w:line="360" w:lineRule="auto"/>
        <w:ind w:left="1134" w:hanging="567"/>
        <w:contextualSpacing/>
        <w:rPr>
          <w:rFonts w:ascii="Arial" w:hAnsi="Arial" w:cs="Arial"/>
          <w:b/>
        </w:rPr>
      </w:pPr>
      <w:r w:rsidRPr="00680F93">
        <w:rPr>
          <w:rFonts w:ascii="Arial" w:hAnsi="Arial" w:cs="Arial"/>
          <w:b/>
        </w:rPr>
        <w:t>Referee</w:t>
      </w:r>
      <w:r w:rsidR="00B52C38" w:rsidRPr="00680F93">
        <w:rPr>
          <w:rFonts w:ascii="Arial" w:hAnsi="Arial" w:cs="Arial"/>
          <w:b/>
        </w:rPr>
        <w:t xml:space="preserve"> Comment Forms and related documentation;</w:t>
      </w:r>
    </w:p>
    <w:p w14:paraId="1D3774BB" w14:textId="77777777" w:rsidR="00B52C38" w:rsidRPr="00680F93" w:rsidRDefault="00B52C38" w:rsidP="00680F93">
      <w:pPr>
        <w:pStyle w:val="ListParagraph"/>
        <w:numPr>
          <w:ilvl w:val="0"/>
          <w:numId w:val="29"/>
        </w:numPr>
        <w:spacing w:line="360" w:lineRule="auto"/>
        <w:ind w:left="1134" w:hanging="567"/>
        <w:contextualSpacing/>
        <w:rPr>
          <w:rFonts w:ascii="Arial" w:hAnsi="Arial" w:cs="Arial"/>
          <w:b/>
        </w:rPr>
      </w:pPr>
      <w:r w:rsidRPr="00680F93">
        <w:rPr>
          <w:rFonts w:ascii="Arial" w:hAnsi="Arial" w:cs="Arial"/>
          <w:b/>
        </w:rPr>
        <w:t xml:space="preserve">Any documentation used as part of the appointments, renewals and/or swearing in process. </w:t>
      </w:r>
    </w:p>
    <w:p w14:paraId="7385DD08" w14:textId="77777777" w:rsidR="00B52C38" w:rsidRPr="00680F93" w:rsidRDefault="00B52C38" w:rsidP="00680F93">
      <w:pPr>
        <w:spacing w:line="360" w:lineRule="auto"/>
        <w:rPr>
          <w:rFonts w:ascii="Arial" w:hAnsi="Arial" w:cs="Arial"/>
          <w:b/>
        </w:rPr>
      </w:pPr>
    </w:p>
    <w:p w14:paraId="717D7776" w14:textId="77777777" w:rsidR="00B52C38" w:rsidRPr="00204E88" w:rsidRDefault="00B52C38" w:rsidP="00B03C0F">
      <w:pPr>
        <w:spacing w:line="360" w:lineRule="auto"/>
        <w:ind w:left="720" w:hanging="153"/>
        <w:rPr>
          <w:rFonts w:ascii="Arial" w:hAnsi="Arial" w:cs="Arial"/>
          <w:b/>
          <w:i/>
        </w:rPr>
      </w:pPr>
      <w:r w:rsidRPr="00204E88">
        <w:rPr>
          <w:rFonts w:ascii="Arial" w:hAnsi="Arial" w:cs="Arial"/>
          <w:b/>
          <w:i/>
        </w:rPr>
        <w:t xml:space="preserve">(This list is not intended to be exhaustive and the applicability of the relevant legislation to any record not mentioned above will be determined by NIJAC upon receipt of a request) </w:t>
      </w:r>
    </w:p>
    <w:p w14:paraId="755CD7EF" w14:textId="77777777" w:rsidR="00B52C38" w:rsidRPr="00680F93" w:rsidRDefault="00B52C38" w:rsidP="00680F93">
      <w:pPr>
        <w:spacing w:line="360" w:lineRule="auto"/>
        <w:rPr>
          <w:rFonts w:ascii="Arial" w:hAnsi="Arial" w:cs="Arial"/>
        </w:rPr>
      </w:pPr>
    </w:p>
    <w:p w14:paraId="05D4E596" w14:textId="77777777" w:rsidR="00B52C38" w:rsidRPr="00680F93" w:rsidRDefault="00430212" w:rsidP="00B03C0F">
      <w:pPr>
        <w:spacing w:line="360" w:lineRule="auto"/>
        <w:ind w:left="720" w:hanging="720"/>
        <w:rPr>
          <w:rFonts w:ascii="Arial" w:hAnsi="Arial" w:cs="Arial"/>
        </w:rPr>
      </w:pPr>
      <w:r>
        <w:rPr>
          <w:rFonts w:ascii="Arial" w:hAnsi="Arial" w:cs="Arial"/>
        </w:rPr>
        <w:t>4.12</w:t>
      </w:r>
      <w:r>
        <w:rPr>
          <w:rFonts w:ascii="Arial" w:hAnsi="Arial" w:cs="Arial"/>
        </w:rPr>
        <w:tab/>
      </w:r>
      <w:r w:rsidR="0072495C" w:rsidRPr="00680F93">
        <w:rPr>
          <w:rFonts w:ascii="Arial" w:hAnsi="Arial" w:cs="Arial"/>
        </w:rPr>
        <w:t xml:space="preserve">In brief, </w:t>
      </w:r>
      <w:r w:rsidR="00851CD0" w:rsidRPr="00680F93">
        <w:rPr>
          <w:rFonts w:ascii="Arial" w:hAnsi="Arial" w:cs="Arial"/>
        </w:rPr>
        <w:t>confidentiality is overarching. The DPA provides for an individual to gain access to their own information however in the context of judicial appointments documentation relating to assessment</w:t>
      </w:r>
      <w:r w:rsidR="0072495C" w:rsidRPr="00680F93">
        <w:rPr>
          <w:rFonts w:ascii="Arial" w:hAnsi="Arial" w:cs="Arial"/>
        </w:rPr>
        <w:t xml:space="preserve"> and selection</w:t>
      </w:r>
      <w:r w:rsidR="00851CD0" w:rsidRPr="00680F93">
        <w:rPr>
          <w:rFonts w:ascii="Arial" w:hAnsi="Arial" w:cs="Arial"/>
        </w:rPr>
        <w:t xml:space="preserve"> is exempt from disclosure. The FoIA restricts access by a third party to personal data and also provides qualified exemptions from access to other information. </w:t>
      </w:r>
    </w:p>
    <w:p w14:paraId="53786569" w14:textId="77777777" w:rsidR="00B52C38" w:rsidRPr="00680F93" w:rsidRDefault="00B52C38" w:rsidP="00680F93">
      <w:pPr>
        <w:spacing w:line="360" w:lineRule="auto"/>
        <w:rPr>
          <w:rFonts w:ascii="Arial" w:hAnsi="Arial" w:cs="Arial"/>
          <w:b/>
        </w:rPr>
      </w:pPr>
    </w:p>
    <w:p w14:paraId="4CD756A5" w14:textId="77777777" w:rsidR="00B52C38" w:rsidRPr="00CD0C64" w:rsidRDefault="007C27CC" w:rsidP="00B03C0F">
      <w:pPr>
        <w:spacing w:line="360" w:lineRule="auto"/>
        <w:ind w:left="720" w:hanging="720"/>
        <w:rPr>
          <w:rFonts w:ascii="Arial" w:hAnsi="Arial" w:cs="Arial"/>
          <w:b/>
          <w:color w:val="002D5B"/>
        </w:rPr>
      </w:pPr>
      <w:r w:rsidRPr="00CD0C64">
        <w:rPr>
          <w:rFonts w:ascii="Arial" w:hAnsi="Arial" w:cs="Arial"/>
          <w:b/>
          <w:color w:val="002D5B"/>
        </w:rPr>
        <w:t>5</w:t>
      </w:r>
      <w:r w:rsidR="00B52C38" w:rsidRPr="00CD0C64">
        <w:rPr>
          <w:rFonts w:ascii="Arial" w:hAnsi="Arial" w:cs="Arial"/>
          <w:b/>
          <w:color w:val="002D5B"/>
        </w:rPr>
        <w:t xml:space="preserve">. </w:t>
      </w:r>
      <w:r w:rsidR="00B52C38" w:rsidRPr="00CD0C64">
        <w:rPr>
          <w:rFonts w:ascii="Arial" w:hAnsi="Arial" w:cs="Arial"/>
          <w:b/>
          <w:color w:val="002D5B"/>
        </w:rPr>
        <w:tab/>
        <w:t>Copyright</w:t>
      </w:r>
      <w:r w:rsidR="00B52C38" w:rsidRPr="00CD0C64">
        <w:rPr>
          <w:rFonts w:ascii="Arial" w:hAnsi="Arial" w:cs="Arial"/>
          <w:color w:val="002D5B"/>
        </w:rPr>
        <w:t xml:space="preserve"> </w:t>
      </w:r>
    </w:p>
    <w:p w14:paraId="7C23C830" w14:textId="77777777" w:rsidR="00B52C38" w:rsidRPr="00680F93" w:rsidRDefault="00430212" w:rsidP="00B03C0F">
      <w:pPr>
        <w:spacing w:line="360" w:lineRule="auto"/>
        <w:ind w:left="720" w:hanging="720"/>
        <w:rPr>
          <w:rFonts w:ascii="Arial" w:hAnsi="Arial" w:cs="Arial"/>
        </w:rPr>
      </w:pPr>
      <w:r>
        <w:rPr>
          <w:rFonts w:ascii="Arial" w:hAnsi="Arial" w:cs="Arial"/>
        </w:rPr>
        <w:t>5.1</w:t>
      </w:r>
      <w:r>
        <w:rPr>
          <w:rFonts w:ascii="Arial" w:hAnsi="Arial" w:cs="Arial"/>
        </w:rPr>
        <w:tab/>
      </w:r>
      <w:r w:rsidR="00B52C38" w:rsidRPr="00680F93">
        <w:rPr>
          <w:rFonts w:ascii="Arial" w:hAnsi="Arial" w:cs="Arial"/>
        </w:rPr>
        <w:t xml:space="preserve">NIJAC will retain copyright (and database rights, where applicable) in all the material in this Scheme except where individual material shows otherwise e.g. where it is shown as Crown Copyright. </w:t>
      </w:r>
    </w:p>
    <w:p w14:paraId="03C3C7E3" w14:textId="77777777" w:rsidR="00B52C38" w:rsidRPr="00680F93" w:rsidRDefault="00B52C38" w:rsidP="00680F93">
      <w:pPr>
        <w:spacing w:line="360" w:lineRule="auto"/>
        <w:rPr>
          <w:rFonts w:ascii="Arial" w:hAnsi="Arial" w:cs="Arial"/>
        </w:rPr>
      </w:pPr>
    </w:p>
    <w:p w14:paraId="08D7F90E" w14:textId="77777777" w:rsidR="00B52C38" w:rsidRPr="00680F93" w:rsidRDefault="00430212" w:rsidP="00B03C0F">
      <w:pPr>
        <w:spacing w:line="360" w:lineRule="auto"/>
        <w:ind w:left="720" w:hanging="720"/>
        <w:rPr>
          <w:rFonts w:ascii="Arial" w:hAnsi="Arial" w:cs="Arial"/>
        </w:rPr>
      </w:pPr>
      <w:r>
        <w:rPr>
          <w:rFonts w:ascii="Arial" w:hAnsi="Arial" w:cs="Arial"/>
        </w:rPr>
        <w:t>5.2</w:t>
      </w:r>
      <w:r>
        <w:rPr>
          <w:rFonts w:ascii="Arial" w:hAnsi="Arial" w:cs="Arial"/>
        </w:rPr>
        <w:tab/>
      </w:r>
      <w:r w:rsidR="00B52C38" w:rsidRPr="00680F93">
        <w:rPr>
          <w:rFonts w:ascii="Arial" w:hAnsi="Arial" w:cs="Arial"/>
        </w:rPr>
        <w:t>Unless any material specifically states otherwise (in which case formal permission is requi</w:t>
      </w:r>
      <w:r w:rsidR="0072495C" w:rsidRPr="00680F93">
        <w:rPr>
          <w:rFonts w:ascii="Arial" w:hAnsi="Arial" w:cs="Arial"/>
        </w:rPr>
        <w:t>red) material in this Scheme, for</w:t>
      </w:r>
      <w:r w:rsidR="00B52C38" w:rsidRPr="00680F93">
        <w:rPr>
          <w:rFonts w:ascii="Arial" w:hAnsi="Arial" w:cs="Arial"/>
        </w:rPr>
        <w:t xml:space="preserve"> which NIJAC has copyright or database rights, may be copied and reproduced without formal permission, provided: </w:t>
      </w:r>
    </w:p>
    <w:p w14:paraId="607A3A4B" w14:textId="77777777" w:rsidR="00B52C38" w:rsidRPr="00680F93" w:rsidRDefault="00B52C38" w:rsidP="00680F93">
      <w:pPr>
        <w:spacing w:line="360" w:lineRule="auto"/>
        <w:rPr>
          <w:rFonts w:ascii="Arial" w:hAnsi="Arial" w:cs="Arial"/>
        </w:rPr>
      </w:pPr>
    </w:p>
    <w:p w14:paraId="4C1B2F87" w14:textId="77777777" w:rsidR="00B52C38" w:rsidRPr="00680F93" w:rsidRDefault="00B52C38" w:rsidP="00680F93">
      <w:pPr>
        <w:spacing w:line="360" w:lineRule="auto"/>
        <w:ind w:left="1134" w:hanging="567"/>
        <w:rPr>
          <w:rFonts w:ascii="Arial" w:hAnsi="Arial" w:cs="Arial"/>
        </w:rPr>
      </w:pPr>
      <w:r w:rsidRPr="00680F93">
        <w:rPr>
          <w:rFonts w:ascii="Arial" w:hAnsi="Arial" w:cs="Arial"/>
        </w:rPr>
        <w:t xml:space="preserve">(a)  </w:t>
      </w:r>
      <w:r w:rsidRPr="00680F93">
        <w:rPr>
          <w:rFonts w:ascii="Arial" w:hAnsi="Arial" w:cs="Arial"/>
        </w:rPr>
        <w:tab/>
        <w:t>it is copied or reproduced accurately and is not us</w:t>
      </w:r>
      <w:r w:rsidR="00204E88">
        <w:rPr>
          <w:rFonts w:ascii="Arial" w:hAnsi="Arial" w:cs="Arial"/>
        </w:rPr>
        <w:t>ed in a misleading context;</w:t>
      </w:r>
    </w:p>
    <w:p w14:paraId="49FB378B" w14:textId="77777777" w:rsidR="00B52C38" w:rsidRPr="00680F93" w:rsidRDefault="00B52C38" w:rsidP="00680F93">
      <w:pPr>
        <w:spacing w:line="360" w:lineRule="auto"/>
        <w:ind w:left="1134" w:hanging="567"/>
        <w:rPr>
          <w:rFonts w:ascii="Arial" w:hAnsi="Arial" w:cs="Arial"/>
        </w:rPr>
      </w:pPr>
      <w:r w:rsidRPr="00680F93">
        <w:rPr>
          <w:rFonts w:ascii="Arial" w:hAnsi="Arial" w:cs="Arial"/>
        </w:rPr>
        <w:t xml:space="preserve">(b)  </w:t>
      </w:r>
      <w:r w:rsidRPr="00680F93">
        <w:rPr>
          <w:rFonts w:ascii="Arial" w:hAnsi="Arial" w:cs="Arial"/>
        </w:rPr>
        <w:tab/>
        <w:t xml:space="preserve">where the material is being copied or reproduced for others, the source of the material is identified and the copyright status acknowledged; and </w:t>
      </w:r>
    </w:p>
    <w:p w14:paraId="458E9FBF" w14:textId="77777777" w:rsidR="00B52C38" w:rsidRPr="00680F93" w:rsidRDefault="00B52C38" w:rsidP="00680F93">
      <w:pPr>
        <w:spacing w:line="360" w:lineRule="auto"/>
        <w:ind w:left="1134" w:hanging="567"/>
        <w:rPr>
          <w:rFonts w:ascii="Arial" w:hAnsi="Arial" w:cs="Arial"/>
        </w:rPr>
      </w:pPr>
      <w:r w:rsidRPr="00680F93">
        <w:rPr>
          <w:rFonts w:ascii="Arial" w:hAnsi="Arial" w:cs="Arial"/>
        </w:rPr>
        <w:t xml:space="preserve">(c) </w:t>
      </w:r>
      <w:r w:rsidRPr="00680F93">
        <w:rPr>
          <w:rFonts w:ascii="Arial" w:hAnsi="Arial" w:cs="Arial"/>
        </w:rPr>
        <w:tab/>
        <w:t xml:space="preserve"> the copying or reproduction is not for financial benefit. </w:t>
      </w:r>
    </w:p>
    <w:p w14:paraId="0B932A79" w14:textId="77777777" w:rsidR="00B52C38" w:rsidRPr="00680F93" w:rsidRDefault="00B52C38" w:rsidP="00680F93">
      <w:pPr>
        <w:spacing w:line="360" w:lineRule="auto"/>
        <w:rPr>
          <w:rFonts w:ascii="Arial" w:hAnsi="Arial" w:cs="Arial"/>
        </w:rPr>
      </w:pPr>
    </w:p>
    <w:p w14:paraId="27D10D65" w14:textId="77777777" w:rsidR="00B52C38" w:rsidRPr="00680F93" w:rsidRDefault="00430212" w:rsidP="00B03C0F">
      <w:pPr>
        <w:spacing w:line="360" w:lineRule="auto"/>
        <w:ind w:left="720" w:hanging="720"/>
        <w:rPr>
          <w:rFonts w:ascii="Arial" w:hAnsi="Arial" w:cs="Arial"/>
        </w:rPr>
      </w:pPr>
      <w:r>
        <w:rPr>
          <w:rFonts w:ascii="Arial" w:hAnsi="Arial" w:cs="Arial"/>
        </w:rPr>
        <w:lastRenderedPageBreak/>
        <w:t>5.3</w:t>
      </w:r>
      <w:r>
        <w:rPr>
          <w:rFonts w:ascii="Arial" w:hAnsi="Arial" w:cs="Arial"/>
        </w:rPr>
        <w:tab/>
      </w:r>
      <w:r w:rsidR="00B52C38" w:rsidRPr="00680F93">
        <w:rPr>
          <w:rFonts w:ascii="Arial" w:hAnsi="Arial" w:cs="Arial"/>
        </w:rPr>
        <w:t xml:space="preserve">This provision does not give a right to use any of NIJAC’s trademarks or logos. </w:t>
      </w:r>
    </w:p>
    <w:p w14:paraId="19FBA054" w14:textId="77777777" w:rsidR="00B52C38" w:rsidRPr="00680F93" w:rsidRDefault="00B52C38" w:rsidP="00680F93">
      <w:pPr>
        <w:spacing w:line="360" w:lineRule="auto"/>
        <w:rPr>
          <w:rFonts w:ascii="Arial" w:hAnsi="Arial" w:cs="Arial"/>
        </w:rPr>
      </w:pPr>
    </w:p>
    <w:p w14:paraId="654278AD" w14:textId="77777777" w:rsidR="00B52C38" w:rsidRPr="00680F93" w:rsidRDefault="00430212" w:rsidP="00B03C0F">
      <w:pPr>
        <w:spacing w:line="360" w:lineRule="auto"/>
        <w:ind w:left="720" w:hanging="720"/>
        <w:rPr>
          <w:rFonts w:ascii="Arial" w:hAnsi="Arial" w:cs="Arial"/>
        </w:rPr>
      </w:pPr>
      <w:r>
        <w:rPr>
          <w:rFonts w:ascii="Arial" w:hAnsi="Arial" w:cs="Arial"/>
        </w:rPr>
        <w:t>5.4</w:t>
      </w:r>
      <w:r>
        <w:rPr>
          <w:rFonts w:ascii="Arial" w:hAnsi="Arial" w:cs="Arial"/>
        </w:rPr>
        <w:tab/>
      </w:r>
      <w:r w:rsidR="00B52C38" w:rsidRPr="00680F93">
        <w:rPr>
          <w:rFonts w:ascii="Arial" w:hAnsi="Arial" w:cs="Arial"/>
        </w:rPr>
        <w:t xml:space="preserve">Some of the material in this Scheme is subject to Crown copyright. Copyright in certain Crown copyright material may be freely reproduced. </w:t>
      </w:r>
    </w:p>
    <w:p w14:paraId="421C6D99" w14:textId="77777777" w:rsidR="00B52C38" w:rsidRPr="00680F93" w:rsidRDefault="00B52C38" w:rsidP="00680F93">
      <w:pPr>
        <w:spacing w:line="360" w:lineRule="auto"/>
        <w:rPr>
          <w:rFonts w:ascii="Arial" w:hAnsi="Arial" w:cs="Arial"/>
        </w:rPr>
      </w:pPr>
    </w:p>
    <w:p w14:paraId="57A55DDF" w14:textId="77777777" w:rsidR="00B52C38" w:rsidRPr="00680F93" w:rsidRDefault="00430212" w:rsidP="00B03C0F">
      <w:pPr>
        <w:spacing w:line="360" w:lineRule="auto"/>
        <w:ind w:left="720" w:hanging="720"/>
        <w:rPr>
          <w:rFonts w:ascii="Arial" w:hAnsi="Arial" w:cs="Arial"/>
        </w:rPr>
      </w:pPr>
      <w:r>
        <w:rPr>
          <w:rFonts w:ascii="Arial" w:hAnsi="Arial" w:cs="Arial"/>
        </w:rPr>
        <w:t>5.5</w:t>
      </w:r>
      <w:r>
        <w:rPr>
          <w:rFonts w:ascii="Arial" w:hAnsi="Arial" w:cs="Arial"/>
        </w:rPr>
        <w:tab/>
      </w:r>
      <w:r w:rsidR="00B52C38" w:rsidRPr="00680F93">
        <w:rPr>
          <w:rFonts w:ascii="Arial" w:hAnsi="Arial" w:cs="Arial"/>
        </w:rPr>
        <w:t xml:space="preserve">Categories of material for which copyright has been waived include: government press notices, legislation and explanatory notes on the  legislation, ministerial speeches, consultation documents, documents featured on official websites (except where expressly indicated otherwise), headline statistics and unpublished public records. </w:t>
      </w:r>
    </w:p>
    <w:p w14:paraId="7E0F254D" w14:textId="77777777" w:rsidR="00B52C38" w:rsidRPr="00680F93" w:rsidRDefault="00B52C38" w:rsidP="00680F93">
      <w:pPr>
        <w:spacing w:line="360" w:lineRule="auto"/>
        <w:rPr>
          <w:rFonts w:ascii="Arial" w:hAnsi="Arial" w:cs="Arial"/>
        </w:rPr>
      </w:pPr>
    </w:p>
    <w:p w14:paraId="2616ED64" w14:textId="77777777" w:rsidR="00B52C38" w:rsidRPr="00680F93" w:rsidRDefault="00430212" w:rsidP="00B03C0F">
      <w:pPr>
        <w:spacing w:line="360" w:lineRule="auto"/>
        <w:ind w:left="720" w:hanging="720"/>
        <w:rPr>
          <w:rFonts w:ascii="Arial" w:hAnsi="Arial" w:cs="Arial"/>
        </w:rPr>
      </w:pPr>
      <w:r>
        <w:rPr>
          <w:rFonts w:ascii="Arial" w:hAnsi="Arial" w:cs="Arial"/>
        </w:rPr>
        <w:t>5.6</w:t>
      </w:r>
      <w:r>
        <w:rPr>
          <w:rFonts w:ascii="Arial" w:hAnsi="Arial" w:cs="Arial"/>
        </w:rPr>
        <w:tab/>
      </w:r>
      <w:r w:rsidR="00B52C38" w:rsidRPr="00680F93">
        <w:rPr>
          <w:rFonts w:ascii="Arial" w:hAnsi="Arial" w:cs="Arial"/>
        </w:rPr>
        <w:t>For other types of material, the supply of documents under this Scheme does not give the person or the organisation who received them an automatic right to reuse the documents in a way that would infringe copyright, for example by making multiple copies, publishing and issuing copies to the public.</w:t>
      </w:r>
    </w:p>
    <w:p w14:paraId="589DD6E4" w14:textId="77777777" w:rsidR="00B52C38" w:rsidRPr="00680F93" w:rsidRDefault="00B52C38" w:rsidP="00680F93">
      <w:pPr>
        <w:spacing w:line="360" w:lineRule="auto"/>
        <w:rPr>
          <w:rFonts w:ascii="Arial" w:hAnsi="Arial" w:cs="Arial"/>
        </w:rPr>
      </w:pPr>
    </w:p>
    <w:p w14:paraId="3A49C032" w14:textId="77777777" w:rsidR="00B52C38" w:rsidRPr="00680F93" w:rsidRDefault="00430212" w:rsidP="00B03C0F">
      <w:pPr>
        <w:spacing w:line="360" w:lineRule="auto"/>
        <w:ind w:left="720" w:hanging="720"/>
        <w:rPr>
          <w:rFonts w:ascii="Arial" w:hAnsi="Arial" w:cs="Arial"/>
        </w:rPr>
      </w:pPr>
      <w:r>
        <w:rPr>
          <w:rFonts w:ascii="Arial" w:hAnsi="Arial" w:cs="Arial"/>
        </w:rPr>
        <w:t>5.7</w:t>
      </w:r>
      <w:r>
        <w:rPr>
          <w:rFonts w:ascii="Arial" w:hAnsi="Arial" w:cs="Arial"/>
        </w:rPr>
        <w:tab/>
      </w:r>
      <w:r w:rsidR="00B52C38" w:rsidRPr="00680F93">
        <w:rPr>
          <w:rFonts w:ascii="Arial" w:hAnsi="Arial" w:cs="Arial"/>
        </w:rPr>
        <w:t>Some of the material included in this Scheme may be subject to copyright owned by third parties (other than the Crown). Formal permission of the third party owner is needed before such material may be copied or reproduced unless the relevant material expressly states that formal permission is not required.</w:t>
      </w:r>
    </w:p>
    <w:p w14:paraId="3A5F1010" w14:textId="77777777" w:rsidR="00B52C38" w:rsidRPr="00680F93" w:rsidRDefault="00B52C38" w:rsidP="00680F93">
      <w:pPr>
        <w:spacing w:line="360" w:lineRule="auto"/>
        <w:rPr>
          <w:rFonts w:ascii="Arial" w:hAnsi="Arial" w:cs="Arial"/>
        </w:rPr>
      </w:pPr>
    </w:p>
    <w:p w14:paraId="6BF7FDBE" w14:textId="77777777" w:rsidR="00B52C38" w:rsidRPr="00680F93" w:rsidRDefault="00430212" w:rsidP="00B03C0F">
      <w:pPr>
        <w:spacing w:line="360" w:lineRule="auto"/>
        <w:ind w:left="720" w:hanging="720"/>
        <w:rPr>
          <w:rFonts w:ascii="Arial" w:hAnsi="Arial" w:cs="Arial"/>
        </w:rPr>
      </w:pPr>
      <w:r>
        <w:rPr>
          <w:rFonts w:ascii="Arial" w:hAnsi="Arial" w:cs="Arial"/>
        </w:rPr>
        <w:t>5.8</w:t>
      </w:r>
      <w:r>
        <w:rPr>
          <w:rFonts w:ascii="Arial" w:hAnsi="Arial" w:cs="Arial"/>
        </w:rPr>
        <w:tab/>
      </w:r>
      <w:r w:rsidR="00B52C38" w:rsidRPr="00680F93">
        <w:rPr>
          <w:rFonts w:ascii="Arial" w:hAnsi="Arial" w:cs="Arial"/>
        </w:rPr>
        <w:t>Brief extracts of any of the material included in this Scheme may be reproduced under the fair dealing provisions of the Copyright, Designs and Patents Act 1988 (sections 29 and 30) for the purposes of research, private study, criticism, review and news reporting.</w:t>
      </w:r>
    </w:p>
    <w:p w14:paraId="23CE4A40" w14:textId="77777777" w:rsidR="00B52C38" w:rsidRPr="00680F93" w:rsidRDefault="00B52C38" w:rsidP="00680F93">
      <w:pPr>
        <w:spacing w:line="360" w:lineRule="auto"/>
        <w:rPr>
          <w:rFonts w:ascii="Arial" w:hAnsi="Arial" w:cs="Arial"/>
        </w:rPr>
      </w:pPr>
    </w:p>
    <w:p w14:paraId="3C034634" w14:textId="77777777" w:rsidR="00B52C38" w:rsidRPr="00680F93" w:rsidRDefault="00430212" w:rsidP="006372CB">
      <w:pPr>
        <w:spacing w:line="360" w:lineRule="auto"/>
        <w:ind w:left="720" w:hanging="720"/>
        <w:rPr>
          <w:rFonts w:ascii="Arial" w:hAnsi="Arial" w:cs="Arial"/>
        </w:rPr>
      </w:pPr>
      <w:r>
        <w:rPr>
          <w:rFonts w:ascii="Arial" w:hAnsi="Arial" w:cs="Arial"/>
        </w:rPr>
        <w:t>5.9</w:t>
      </w:r>
      <w:r>
        <w:rPr>
          <w:rFonts w:ascii="Arial" w:hAnsi="Arial" w:cs="Arial"/>
        </w:rPr>
        <w:tab/>
      </w:r>
      <w:r w:rsidR="00B52C38" w:rsidRPr="00680F93">
        <w:rPr>
          <w:rFonts w:ascii="Arial" w:hAnsi="Arial" w:cs="Arial"/>
        </w:rPr>
        <w:t xml:space="preserve">Applications for formal permission to use NIJAC’s copyright material (including databases subject to database rights) must be made to NIJAC at the address shown in the section headed ‘Responsibility for the Scheme.’ </w:t>
      </w:r>
    </w:p>
    <w:p w14:paraId="64A90145" w14:textId="77777777" w:rsidR="00B52C38" w:rsidRPr="00680F93" w:rsidRDefault="00B52C38" w:rsidP="00680F93">
      <w:pPr>
        <w:spacing w:line="360" w:lineRule="auto"/>
        <w:rPr>
          <w:rFonts w:ascii="Arial" w:hAnsi="Arial" w:cs="Arial"/>
        </w:rPr>
      </w:pPr>
    </w:p>
    <w:p w14:paraId="42A29FBD" w14:textId="77777777" w:rsidR="00B52C38" w:rsidRPr="00680F93" w:rsidRDefault="00430212" w:rsidP="006372CB">
      <w:pPr>
        <w:spacing w:line="360" w:lineRule="auto"/>
        <w:ind w:left="720" w:hanging="720"/>
        <w:rPr>
          <w:rFonts w:ascii="Arial" w:hAnsi="Arial" w:cs="Arial"/>
        </w:rPr>
      </w:pPr>
      <w:r>
        <w:rPr>
          <w:rFonts w:ascii="Arial" w:hAnsi="Arial" w:cs="Arial"/>
        </w:rPr>
        <w:lastRenderedPageBreak/>
        <w:t>5.10</w:t>
      </w:r>
      <w:r>
        <w:rPr>
          <w:rFonts w:ascii="Arial" w:hAnsi="Arial" w:cs="Arial"/>
        </w:rPr>
        <w:tab/>
      </w:r>
      <w:r w:rsidR="00B52C38" w:rsidRPr="00680F93">
        <w:rPr>
          <w:rFonts w:ascii="Arial" w:hAnsi="Arial" w:cs="Arial"/>
        </w:rPr>
        <w:t>Applications for permission to use Crown copyright material can also be made to the appropriate authority. Applications for permission to use other copyright material, where no waiver of copyright is stated, must be made to the copyright owner. If in doubt, users should contact NIJAC in the first instance.</w:t>
      </w:r>
    </w:p>
    <w:p w14:paraId="73D6F02C" w14:textId="77777777" w:rsidR="00B32EF2" w:rsidRPr="00680F93" w:rsidRDefault="00B32EF2" w:rsidP="00680F93">
      <w:pPr>
        <w:spacing w:line="360" w:lineRule="auto"/>
        <w:rPr>
          <w:rFonts w:ascii="Arial" w:hAnsi="Arial" w:cs="Arial"/>
          <w:b/>
        </w:rPr>
      </w:pPr>
    </w:p>
    <w:p w14:paraId="17C8B203" w14:textId="77777777" w:rsidR="00B52C38" w:rsidRPr="00CD0C64" w:rsidRDefault="007C27CC" w:rsidP="006372CB">
      <w:pPr>
        <w:spacing w:line="360" w:lineRule="auto"/>
        <w:ind w:left="720" w:hanging="720"/>
        <w:rPr>
          <w:rFonts w:ascii="Arial" w:hAnsi="Arial" w:cs="Arial"/>
          <w:b/>
          <w:color w:val="002D5B"/>
        </w:rPr>
      </w:pPr>
      <w:r w:rsidRPr="00CD0C64">
        <w:rPr>
          <w:rFonts w:ascii="Arial" w:hAnsi="Arial" w:cs="Arial"/>
          <w:b/>
          <w:color w:val="002D5B"/>
        </w:rPr>
        <w:t>6</w:t>
      </w:r>
      <w:r w:rsidR="00B52C38" w:rsidRPr="00CD0C64">
        <w:rPr>
          <w:rFonts w:ascii="Arial" w:hAnsi="Arial" w:cs="Arial"/>
          <w:b/>
          <w:color w:val="002D5B"/>
        </w:rPr>
        <w:t xml:space="preserve">. </w:t>
      </w:r>
      <w:r w:rsidR="00B52C38" w:rsidRPr="00CD0C64">
        <w:rPr>
          <w:rFonts w:ascii="Arial" w:hAnsi="Arial" w:cs="Arial"/>
          <w:b/>
          <w:color w:val="002D5B"/>
        </w:rPr>
        <w:tab/>
        <w:t>Requests for Personal Data</w:t>
      </w:r>
    </w:p>
    <w:p w14:paraId="0961D178" w14:textId="77777777" w:rsidR="00B52C38" w:rsidRPr="00680F93" w:rsidRDefault="00B52C38" w:rsidP="00680F93">
      <w:pPr>
        <w:spacing w:line="360" w:lineRule="auto"/>
        <w:rPr>
          <w:rFonts w:ascii="Arial" w:hAnsi="Arial" w:cs="Arial"/>
        </w:rPr>
      </w:pPr>
    </w:p>
    <w:p w14:paraId="08AD9ACD" w14:textId="77777777" w:rsidR="00B52C38" w:rsidRPr="00680F93" w:rsidRDefault="00430212" w:rsidP="006372CB">
      <w:pPr>
        <w:spacing w:line="360" w:lineRule="auto"/>
        <w:ind w:left="720" w:hanging="720"/>
        <w:rPr>
          <w:rFonts w:ascii="Arial" w:hAnsi="Arial" w:cs="Arial"/>
        </w:rPr>
      </w:pPr>
      <w:r>
        <w:rPr>
          <w:rFonts w:ascii="Arial" w:hAnsi="Arial" w:cs="Arial"/>
        </w:rPr>
        <w:t>6.1</w:t>
      </w:r>
      <w:r>
        <w:rPr>
          <w:rFonts w:ascii="Arial" w:hAnsi="Arial" w:cs="Arial"/>
        </w:rPr>
        <w:tab/>
      </w:r>
      <w:r w:rsidR="00B52C38" w:rsidRPr="00680F93">
        <w:rPr>
          <w:rFonts w:ascii="Arial" w:hAnsi="Arial" w:cs="Arial"/>
        </w:rPr>
        <w:t>You have a statutory right of access (certain exemptions apply) to personal data about yourself under the D</w:t>
      </w:r>
      <w:r w:rsidR="00722044" w:rsidRPr="00680F93">
        <w:rPr>
          <w:rFonts w:ascii="Arial" w:hAnsi="Arial" w:cs="Arial"/>
        </w:rPr>
        <w:t>PA</w:t>
      </w:r>
      <w:r w:rsidR="00B52C38" w:rsidRPr="00680F93">
        <w:rPr>
          <w:rFonts w:ascii="Arial" w:hAnsi="Arial" w:cs="Arial"/>
        </w:rPr>
        <w:t xml:space="preserve">. </w:t>
      </w:r>
    </w:p>
    <w:p w14:paraId="0718526A" w14:textId="77777777" w:rsidR="00B52C38" w:rsidRPr="00680F93" w:rsidRDefault="00B52C38" w:rsidP="00680F93">
      <w:pPr>
        <w:spacing w:line="360" w:lineRule="auto"/>
        <w:rPr>
          <w:rFonts w:ascii="Arial" w:hAnsi="Arial" w:cs="Arial"/>
        </w:rPr>
      </w:pPr>
    </w:p>
    <w:p w14:paraId="4B1E58DD" w14:textId="77777777" w:rsidR="00B52C38" w:rsidRPr="00680F93" w:rsidRDefault="00430212" w:rsidP="006372CB">
      <w:pPr>
        <w:spacing w:line="360" w:lineRule="auto"/>
        <w:ind w:left="720" w:hanging="720"/>
        <w:rPr>
          <w:rFonts w:ascii="Arial" w:hAnsi="Arial" w:cs="Arial"/>
        </w:rPr>
      </w:pPr>
      <w:r>
        <w:rPr>
          <w:rFonts w:ascii="Arial" w:hAnsi="Arial" w:cs="Arial"/>
        </w:rPr>
        <w:t>6.2</w:t>
      </w:r>
      <w:r>
        <w:rPr>
          <w:rFonts w:ascii="Arial" w:hAnsi="Arial" w:cs="Arial"/>
        </w:rPr>
        <w:tab/>
      </w:r>
      <w:r w:rsidR="00B52C38" w:rsidRPr="00680F93">
        <w:rPr>
          <w:rFonts w:ascii="Arial" w:hAnsi="Arial" w:cs="Arial"/>
        </w:rPr>
        <w:t xml:space="preserve">The right of access </w:t>
      </w:r>
      <w:r w:rsidR="0072495C" w:rsidRPr="00680F93">
        <w:rPr>
          <w:rFonts w:ascii="Arial" w:hAnsi="Arial" w:cs="Arial"/>
        </w:rPr>
        <w:t>relates</w:t>
      </w:r>
      <w:r w:rsidR="00B52C38" w:rsidRPr="00680F93">
        <w:rPr>
          <w:rFonts w:ascii="Arial" w:hAnsi="Arial" w:cs="Arial"/>
        </w:rPr>
        <w:t xml:space="preserve"> to personal data held on computer or on structured manual files and you are entitled to be informed whether any pers</w:t>
      </w:r>
      <w:r w:rsidR="00BF07D3" w:rsidRPr="00680F93">
        <w:rPr>
          <w:rFonts w:ascii="Arial" w:hAnsi="Arial" w:cs="Arial"/>
        </w:rPr>
        <w:t>onal data concerning yourself is</w:t>
      </w:r>
      <w:r w:rsidR="00B52C38" w:rsidRPr="00680F93">
        <w:rPr>
          <w:rFonts w:ascii="Arial" w:hAnsi="Arial" w:cs="Arial"/>
        </w:rPr>
        <w:t xml:space="preserve"> being held by the ‘data controller’ i.e. NIJAC, and, if so</w:t>
      </w:r>
    </w:p>
    <w:p w14:paraId="66440481" w14:textId="77777777" w:rsidR="00B52C38" w:rsidRPr="00680F93" w:rsidRDefault="00B52C38" w:rsidP="00680F93">
      <w:pPr>
        <w:spacing w:line="360" w:lineRule="auto"/>
        <w:rPr>
          <w:rFonts w:ascii="Arial" w:hAnsi="Arial" w:cs="Arial"/>
        </w:rPr>
      </w:pPr>
    </w:p>
    <w:p w14:paraId="5A6DAA1E" w14:textId="77777777" w:rsidR="00B52C38" w:rsidRPr="00680F93" w:rsidRDefault="00B52C38" w:rsidP="00680F93">
      <w:pPr>
        <w:spacing w:line="360" w:lineRule="auto"/>
        <w:ind w:left="1134" w:hanging="567"/>
        <w:rPr>
          <w:rFonts w:ascii="Arial" w:hAnsi="Arial" w:cs="Arial"/>
        </w:rPr>
      </w:pPr>
      <w:r w:rsidRPr="00680F93">
        <w:rPr>
          <w:rFonts w:ascii="Arial" w:hAnsi="Arial" w:cs="Arial"/>
        </w:rPr>
        <w:t xml:space="preserve">• </w:t>
      </w:r>
      <w:r w:rsidRPr="00680F93">
        <w:rPr>
          <w:rFonts w:ascii="Arial" w:hAnsi="Arial" w:cs="Arial"/>
        </w:rPr>
        <w:tab/>
        <w:t>To be given a description of the data in question</w:t>
      </w:r>
    </w:p>
    <w:p w14:paraId="3C243842" w14:textId="77777777" w:rsidR="00B52C38" w:rsidRPr="00680F93" w:rsidRDefault="00B52C38" w:rsidP="00680F93">
      <w:pPr>
        <w:pStyle w:val="ListParagraph"/>
        <w:numPr>
          <w:ilvl w:val="0"/>
          <w:numId w:val="30"/>
        </w:numPr>
        <w:spacing w:line="360" w:lineRule="auto"/>
        <w:ind w:left="1134" w:hanging="567"/>
        <w:contextualSpacing/>
        <w:rPr>
          <w:rFonts w:ascii="Arial" w:hAnsi="Arial" w:cs="Arial"/>
        </w:rPr>
      </w:pPr>
      <w:r w:rsidRPr="00680F93">
        <w:rPr>
          <w:rFonts w:ascii="Arial" w:hAnsi="Arial" w:cs="Arial"/>
        </w:rPr>
        <w:t>To be told for what purposes the data are processed</w:t>
      </w:r>
    </w:p>
    <w:p w14:paraId="548F2360" w14:textId="77777777" w:rsidR="00B52C38" w:rsidRPr="00680F93" w:rsidRDefault="00B52C38" w:rsidP="00680F93">
      <w:pPr>
        <w:spacing w:line="360" w:lineRule="auto"/>
        <w:ind w:left="1134" w:hanging="567"/>
        <w:rPr>
          <w:rFonts w:ascii="Arial" w:hAnsi="Arial" w:cs="Arial"/>
        </w:rPr>
      </w:pPr>
      <w:r w:rsidRPr="00680F93">
        <w:rPr>
          <w:rFonts w:ascii="Arial" w:hAnsi="Arial" w:cs="Arial"/>
        </w:rPr>
        <w:t xml:space="preserve">• </w:t>
      </w:r>
      <w:r w:rsidRPr="00680F93">
        <w:rPr>
          <w:rFonts w:ascii="Arial" w:hAnsi="Arial" w:cs="Arial"/>
        </w:rPr>
        <w:tab/>
        <w:t>To be told of the recipients or classes of recipients to whom the data are or may be disclosed.</w:t>
      </w:r>
    </w:p>
    <w:p w14:paraId="124D0D31" w14:textId="77777777" w:rsidR="00B52C38" w:rsidRPr="00680F93" w:rsidRDefault="00B52C38" w:rsidP="00680F93">
      <w:pPr>
        <w:spacing w:line="360" w:lineRule="auto"/>
        <w:rPr>
          <w:rFonts w:ascii="Arial" w:hAnsi="Arial" w:cs="Arial"/>
        </w:rPr>
      </w:pPr>
    </w:p>
    <w:p w14:paraId="30FFD92F" w14:textId="77777777" w:rsidR="00B52C38" w:rsidRPr="00680F93" w:rsidRDefault="00430212" w:rsidP="006372CB">
      <w:pPr>
        <w:spacing w:line="360" w:lineRule="auto"/>
        <w:ind w:left="720" w:hanging="720"/>
        <w:rPr>
          <w:rFonts w:ascii="Arial" w:hAnsi="Arial" w:cs="Arial"/>
        </w:rPr>
      </w:pPr>
      <w:r>
        <w:rPr>
          <w:rFonts w:ascii="Arial" w:hAnsi="Arial" w:cs="Arial"/>
        </w:rPr>
        <w:t>6.3</w:t>
      </w:r>
      <w:r>
        <w:rPr>
          <w:rFonts w:ascii="Arial" w:hAnsi="Arial" w:cs="Arial"/>
        </w:rPr>
        <w:tab/>
      </w:r>
      <w:r w:rsidR="00600714" w:rsidRPr="00680F93">
        <w:rPr>
          <w:rFonts w:ascii="Arial" w:hAnsi="Arial" w:cs="Arial"/>
        </w:rPr>
        <w:t>Subject to the exemptions outlined earlier in this scheme, y</w:t>
      </w:r>
      <w:r w:rsidR="00B52C38" w:rsidRPr="00680F93">
        <w:rPr>
          <w:rFonts w:ascii="Arial" w:hAnsi="Arial" w:cs="Arial"/>
        </w:rPr>
        <w:t>ou are also entitled to be given</w:t>
      </w:r>
      <w:r w:rsidR="0034626B">
        <w:rPr>
          <w:rFonts w:ascii="Arial" w:hAnsi="Arial" w:cs="Arial"/>
        </w:rPr>
        <w:t xml:space="preserve"> confirmation of the information held and</w:t>
      </w:r>
      <w:r w:rsidR="00B52C38" w:rsidRPr="00680F93">
        <w:rPr>
          <w:rFonts w:ascii="Arial" w:hAnsi="Arial" w:cs="Arial"/>
        </w:rPr>
        <w:t xml:space="preserve"> a copy of the information with any unintelligible terms explained and to be given any information available to NIJAC as to the source of the data. </w:t>
      </w:r>
    </w:p>
    <w:p w14:paraId="623BA562" w14:textId="77777777" w:rsidR="00B52C38" w:rsidRPr="00680F93" w:rsidRDefault="00B52C38" w:rsidP="00680F93">
      <w:pPr>
        <w:spacing w:line="360" w:lineRule="auto"/>
        <w:rPr>
          <w:rFonts w:ascii="Arial" w:hAnsi="Arial" w:cs="Arial"/>
        </w:rPr>
      </w:pPr>
    </w:p>
    <w:p w14:paraId="25447B1E" w14:textId="77777777" w:rsidR="00B52C38" w:rsidRPr="00680F93" w:rsidRDefault="00430212" w:rsidP="006372CB">
      <w:pPr>
        <w:spacing w:line="360" w:lineRule="auto"/>
        <w:ind w:left="720" w:hanging="720"/>
        <w:rPr>
          <w:rFonts w:ascii="Arial" w:hAnsi="Arial" w:cs="Arial"/>
        </w:rPr>
      </w:pPr>
      <w:r>
        <w:rPr>
          <w:rFonts w:ascii="Arial" w:hAnsi="Arial" w:cs="Arial"/>
        </w:rPr>
        <w:t>6.4</w:t>
      </w:r>
      <w:r>
        <w:rPr>
          <w:rFonts w:ascii="Arial" w:hAnsi="Arial" w:cs="Arial"/>
        </w:rPr>
        <w:tab/>
      </w:r>
      <w:r w:rsidR="00B52C38" w:rsidRPr="00680F93">
        <w:rPr>
          <w:rFonts w:ascii="Arial" w:hAnsi="Arial" w:cs="Arial"/>
        </w:rPr>
        <w:t>The F</w:t>
      </w:r>
      <w:r w:rsidR="00722044" w:rsidRPr="00680F93">
        <w:rPr>
          <w:rFonts w:ascii="Arial" w:hAnsi="Arial" w:cs="Arial"/>
        </w:rPr>
        <w:t>oIA</w:t>
      </w:r>
      <w:r w:rsidR="00B52C38" w:rsidRPr="00680F93">
        <w:rPr>
          <w:rFonts w:ascii="Arial" w:hAnsi="Arial" w:cs="Arial"/>
        </w:rPr>
        <w:t xml:space="preserve"> extended this right to access to personal data held on any type of file, with effect from 1 January 2005.</w:t>
      </w:r>
    </w:p>
    <w:p w14:paraId="4F33F18F" w14:textId="77777777" w:rsidR="00B52C38" w:rsidRPr="00680F93" w:rsidRDefault="00B52C38" w:rsidP="00680F93">
      <w:pPr>
        <w:spacing w:line="360" w:lineRule="auto"/>
        <w:rPr>
          <w:rFonts w:ascii="Arial" w:hAnsi="Arial" w:cs="Arial"/>
        </w:rPr>
      </w:pPr>
    </w:p>
    <w:p w14:paraId="16C6D59E" w14:textId="4CA91CAD" w:rsidR="00B52C38" w:rsidRPr="00680F93" w:rsidRDefault="00430212" w:rsidP="0013511A">
      <w:pPr>
        <w:spacing w:line="360" w:lineRule="auto"/>
        <w:ind w:left="567" w:hanging="567"/>
        <w:rPr>
          <w:rFonts w:ascii="Arial" w:hAnsi="Arial" w:cs="Arial"/>
        </w:rPr>
      </w:pPr>
      <w:r>
        <w:rPr>
          <w:rFonts w:ascii="Arial" w:hAnsi="Arial" w:cs="Arial"/>
        </w:rPr>
        <w:t>6.5</w:t>
      </w:r>
      <w:r>
        <w:rPr>
          <w:rFonts w:ascii="Arial" w:hAnsi="Arial" w:cs="Arial"/>
        </w:rPr>
        <w:tab/>
      </w:r>
      <w:r w:rsidR="00B52C38" w:rsidRPr="00680F93">
        <w:rPr>
          <w:rFonts w:ascii="Arial" w:hAnsi="Arial" w:cs="Arial"/>
        </w:rPr>
        <w:t>If you wish to apply for access to your personal data, known as ‘subject access request’, you should write to NIJAC</w:t>
      </w:r>
      <w:r w:rsidR="00CD0C64">
        <w:rPr>
          <w:rFonts w:ascii="Arial" w:hAnsi="Arial" w:cs="Arial"/>
        </w:rPr>
        <w:t xml:space="preserve"> via email (</w:t>
      </w:r>
      <w:hyperlink r:id="rId11" w:history="1">
        <w:r w:rsidR="00CD0C64" w:rsidRPr="00F57A59">
          <w:rPr>
            <w:rStyle w:val="Hyperlink"/>
            <w:rFonts w:ascii="Arial" w:hAnsi="Arial" w:cs="Arial"/>
          </w:rPr>
          <w:t>finance@nijac.gov.uk</w:t>
        </w:r>
      </w:hyperlink>
      <w:r w:rsidR="00CD0C64">
        <w:rPr>
          <w:rFonts w:ascii="Arial" w:hAnsi="Arial" w:cs="Arial"/>
        </w:rPr>
        <w:t>) or via post</w:t>
      </w:r>
      <w:r w:rsidR="00B52C38" w:rsidRPr="00680F93">
        <w:rPr>
          <w:rFonts w:ascii="Arial" w:hAnsi="Arial" w:cs="Arial"/>
        </w:rPr>
        <w:t xml:space="preserve"> </w:t>
      </w:r>
      <w:r w:rsidR="00CD0C64">
        <w:rPr>
          <w:rFonts w:ascii="Arial" w:hAnsi="Arial" w:cs="Arial"/>
        </w:rPr>
        <w:t>to</w:t>
      </w:r>
      <w:r w:rsidR="00B52C38" w:rsidRPr="00680F93">
        <w:rPr>
          <w:rFonts w:ascii="Arial" w:hAnsi="Arial" w:cs="Arial"/>
        </w:rPr>
        <w:t xml:space="preserve"> the address provided</w:t>
      </w:r>
      <w:r w:rsidR="00CD0C64">
        <w:rPr>
          <w:rFonts w:ascii="Arial" w:hAnsi="Arial" w:cs="Arial"/>
        </w:rPr>
        <w:t>:</w:t>
      </w:r>
    </w:p>
    <w:p w14:paraId="64FDB9A1" w14:textId="77777777" w:rsidR="00B52C38" w:rsidRDefault="00B52C38" w:rsidP="00680F93">
      <w:pPr>
        <w:spacing w:line="360" w:lineRule="auto"/>
        <w:rPr>
          <w:rFonts w:ascii="Arial" w:hAnsi="Arial" w:cs="Arial"/>
        </w:rPr>
      </w:pPr>
    </w:p>
    <w:p w14:paraId="74C74E45" w14:textId="77777777" w:rsidR="00B03C0F" w:rsidRDefault="00B03C0F" w:rsidP="00680F93">
      <w:pPr>
        <w:spacing w:line="360" w:lineRule="auto"/>
        <w:rPr>
          <w:rFonts w:ascii="Arial" w:hAnsi="Arial" w:cs="Arial"/>
        </w:rPr>
      </w:pPr>
    </w:p>
    <w:p w14:paraId="1D12A5C7" w14:textId="77777777" w:rsidR="00B03C0F" w:rsidRDefault="00B03C0F" w:rsidP="00680F93">
      <w:pPr>
        <w:spacing w:line="360" w:lineRule="auto"/>
        <w:rPr>
          <w:rFonts w:ascii="Arial" w:hAnsi="Arial" w:cs="Arial"/>
        </w:rPr>
      </w:pPr>
    </w:p>
    <w:p w14:paraId="6F6E8EBE" w14:textId="77777777" w:rsidR="006372CB" w:rsidRPr="00680F93" w:rsidRDefault="006372CB" w:rsidP="00680F93">
      <w:pPr>
        <w:spacing w:line="360" w:lineRule="auto"/>
        <w:rPr>
          <w:rFonts w:ascii="Arial" w:hAnsi="Arial" w:cs="Arial"/>
        </w:rPr>
      </w:pPr>
    </w:p>
    <w:p w14:paraId="7F670BDA" w14:textId="6EF8570A" w:rsidR="00B52C38" w:rsidRPr="00680F93" w:rsidRDefault="00CD0C64" w:rsidP="00680F93">
      <w:pPr>
        <w:spacing w:line="360" w:lineRule="auto"/>
        <w:ind w:left="1134"/>
        <w:rPr>
          <w:rFonts w:ascii="Arial" w:hAnsi="Arial" w:cs="Arial"/>
        </w:rPr>
      </w:pPr>
      <w:r>
        <w:rPr>
          <w:rFonts w:ascii="Arial" w:hAnsi="Arial" w:cs="Arial"/>
        </w:rPr>
        <w:t>Corporate Services Manager</w:t>
      </w:r>
    </w:p>
    <w:p w14:paraId="2F3E9BB7" w14:textId="77777777" w:rsidR="00B52C38" w:rsidRPr="00680F93" w:rsidRDefault="00B52C38" w:rsidP="00680F93">
      <w:pPr>
        <w:spacing w:line="360" w:lineRule="auto"/>
        <w:ind w:left="1134"/>
        <w:rPr>
          <w:rFonts w:ascii="Arial" w:hAnsi="Arial" w:cs="Arial"/>
        </w:rPr>
      </w:pPr>
      <w:r w:rsidRPr="00680F93">
        <w:rPr>
          <w:rFonts w:ascii="Arial" w:hAnsi="Arial" w:cs="Arial"/>
        </w:rPr>
        <w:t>Northern Ireland Judicial Appointments Commission</w:t>
      </w:r>
    </w:p>
    <w:p w14:paraId="0FE87627" w14:textId="77777777" w:rsidR="00B52C38" w:rsidRPr="00680F93" w:rsidRDefault="00B52C38" w:rsidP="00680F93">
      <w:pPr>
        <w:spacing w:line="360" w:lineRule="auto"/>
        <w:ind w:left="1134"/>
        <w:rPr>
          <w:rFonts w:ascii="Arial" w:hAnsi="Arial" w:cs="Arial"/>
        </w:rPr>
      </w:pPr>
      <w:r w:rsidRPr="00680F93">
        <w:rPr>
          <w:rFonts w:ascii="Arial" w:hAnsi="Arial" w:cs="Arial"/>
        </w:rPr>
        <w:t>Headline Building</w:t>
      </w:r>
    </w:p>
    <w:p w14:paraId="64097242" w14:textId="77777777" w:rsidR="00B52C38" w:rsidRPr="00680F93" w:rsidRDefault="00B52C38" w:rsidP="00680F93">
      <w:pPr>
        <w:spacing w:line="360" w:lineRule="auto"/>
        <w:ind w:left="1134"/>
        <w:rPr>
          <w:rFonts w:ascii="Arial" w:hAnsi="Arial" w:cs="Arial"/>
        </w:rPr>
      </w:pPr>
      <w:r w:rsidRPr="00680F93">
        <w:rPr>
          <w:rFonts w:ascii="Arial" w:hAnsi="Arial" w:cs="Arial"/>
        </w:rPr>
        <w:t>10-14 Victoria Street</w:t>
      </w:r>
    </w:p>
    <w:p w14:paraId="597141BD" w14:textId="77777777" w:rsidR="00B52C38" w:rsidRPr="00680F93" w:rsidRDefault="00B52C38" w:rsidP="00680F93">
      <w:pPr>
        <w:spacing w:line="360" w:lineRule="auto"/>
        <w:ind w:left="1134"/>
        <w:rPr>
          <w:rFonts w:ascii="Arial" w:hAnsi="Arial" w:cs="Arial"/>
        </w:rPr>
      </w:pPr>
      <w:r w:rsidRPr="00680F93">
        <w:rPr>
          <w:rFonts w:ascii="Arial" w:hAnsi="Arial" w:cs="Arial"/>
        </w:rPr>
        <w:t>Belfast BT1 3GG</w:t>
      </w:r>
    </w:p>
    <w:p w14:paraId="68F3E1D9" w14:textId="77777777" w:rsidR="00B52C38" w:rsidRPr="00680F93" w:rsidRDefault="00B52C38" w:rsidP="00680F93">
      <w:pPr>
        <w:spacing w:line="360" w:lineRule="auto"/>
        <w:rPr>
          <w:rFonts w:ascii="Arial" w:hAnsi="Arial" w:cs="Arial"/>
        </w:rPr>
      </w:pPr>
    </w:p>
    <w:p w14:paraId="6F2C3B23" w14:textId="77777777" w:rsidR="00B52C38" w:rsidRPr="00680F93" w:rsidRDefault="00430212" w:rsidP="006372CB">
      <w:pPr>
        <w:spacing w:line="360" w:lineRule="auto"/>
        <w:ind w:left="720" w:hanging="720"/>
        <w:rPr>
          <w:rFonts w:ascii="Arial" w:hAnsi="Arial" w:cs="Arial"/>
        </w:rPr>
      </w:pPr>
      <w:r>
        <w:rPr>
          <w:rFonts w:ascii="Arial" w:hAnsi="Arial" w:cs="Arial"/>
        </w:rPr>
        <w:t>6.6</w:t>
      </w:r>
      <w:r>
        <w:rPr>
          <w:rFonts w:ascii="Arial" w:hAnsi="Arial" w:cs="Arial"/>
        </w:rPr>
        <w:tab/>
      </w:r>
      <w:r w:rsidR="00B52C38" w:rsidRPr="00680F93">
        <w:rPr>
          <w:rFonts w:ascii="Arial" w:hAnsi="Arial" w:cs="Arial"/>
        </w:rPr>
        <w:t xml:space="preserve">A request for access to personal data must be dealt with promptly and, in any event, within </w:t>
      </w:r>
      <w:r w:rsidR="0034626B">
        <w:rPr>
          <w:rFonts w:ascii="Arial" w:hAnsi="Arial" w:cs="Arial"/>
        </w:rPr>
        <w:t>1 month</w:t>
      </w:r>
      <w:r w:rsidR="00B52C38" w:rsidRPr="00680F93">
        <w:rPr>
          <w:rFonts w:ascii="Arial" w:hAnsi="Arial" w:cs="Arial"/>
        </w:rPr>
        <w:t xml:space="preserve"> of receipt of the request. </w:t>
      </w:r>
    </w:p>
    <w:p w14:paraId="0EE5B0D8" w14:textId="77777777" w:rsidR="00B52C38" w:rsidRPr="00680F93" w:rsidRDefault="00B52C38" w:rsidP="00680F93">
      <w:pPr>
        <w:spacing w:line="360" w:lineRule="auto"/>
        <w:rPr>
          <w:rFonts w:ascii="Arial" w:hAnsi="Arial" w:cs="Arial"/>
        </w:rPr>
      </w:pPr>
    </w:p>
    <w:p w14:paraId="1CBDFD27" w14:textId="77777777" w:rsidR="00B52C38" w:rsidRPr="00680F93" w:rsidRDefault="00430212" w:rsidP="006372CB">
      <w:pPr>
        <w:spacing w:line="360" w:lineRule="auto"/>
        <w:ind w:left="720" w:hanging="720"/>
        <w:rPr>
          <w:rFonts w:ascii="Arial" w:hAnsi="Arial" w:cs="Arial"/>
        </w:rPr>
      </w:pPr>
      <w:r>
        <w:rPr>
          <w:rFonts w:ascii="Arial" w:hAnsi="Arial" w:cs="Arial"/>
        </w:rPr>
        <w:t>6.7</w:t>
      </w:r>
      <w:r>
        <w:rPr>
          <w:rFonts w:ascii="Arial" w:hAnsi="Arial" w:cs="Arial"/>
        </w:rPr>
        <w:tab/>
      </w:r>
      <w:r w:rsidR="00B52C38" w:rsidRPr="00680F93">
        <w:rPr>
          <w:rFonts w:ascii="Arial" w:hAnsi="Arial" w:cs="Arial"/>
        </w:rPr>
        <w:t xml:space="preserve">If you consider that a request by you for access to your personal data was not dealt with in accordance with the </w:t>
      </w:r>
      <w:r w:rsidR="00722044" w:rsidRPr="00680F93">
        <w:rPr>
          <w:rFonts w:ascii="Arial" w:hAnsi="Arial" w:cs="Arial"/>
        </w:rPr>
        <w:t>DPA</w:t>
      </w:r>
      <w:r w:rsidR="00B52C38" w:rsidRPr="00680F93">
        <w:rPr>
          <w:rFonts w:ascii="Arial" w:hAnsi="Arial" w:cs="Arial"/>
        </w:rPr>
        <w:t xml:space="preserve"> you may take further action as follows:</w:t>
      </w:r>
    </w:p>
    <w:p w14:paraId="3FA57ADD" w14:textId="77777777" w:rsidR="00B52C38" w:rsidRPr="00680F93" w:rsidRDefault="00B52C38" w:rsidP="00680F93">
      <w:pPr>
        <w:spacing w:line="360" w:lineRule="auto"/>
        <w:rPr>
          <w:rFonts w:ascii="Arial" w:hAnsi="Arial" w:cs="Arial"/>
        </w:rPr>
      </w:pPr>
    </w:p>
    <w:p w14:paraId="4A6744E1" w14:textId="77777777" w:rsidR="00B52C38" w:rsidRPr="00680F93" w:rsidRDefault="00B52C38" w:rsidP="00680F93">
      <w:pPr>
        <w:spacing w:line="360" w:lineRule="auto"/>
        <w:ind w:left="1134" w:hanging="567"/>
        <w:rPr>
          <w:rFonts w:ascii="Arial" w:hAnsi="Arial" w:cs="Arial"/>
        </w:rPr>
      </w:pPr>
      <w:r w:rsidRPr="00680F93">
        <w:rPr>
          <w:rFonts w:ascii="Arial" w:hAnsi="Arial" w:cs="Arial"/>
        </w:rPr>
        <w:t xml:space="preserve">a) </w:t>
      </w:r>
      <w:r w:rsidRPr="00680F93">
        <w:rPr>
          <w:rFonts w:ascii="Arial" w:hAnsi="Arial" w:cs="Arial"/>
        </w:rPr>
        <w:tab/>
        <w:t xml:space="preserve">You may apply to the court alleging a failure to comply with the subject access provisions of the </w:t>
      </w:r>
      <w:r w:rsidR="0034626B">
        <w:rPr>
          <w:rFonts w:ascii="Arial" w:hAnsi="Arial" w:cs="Arial"/>
        </w:rPr>
        <w:t>2018</w:t>
      </w:r>
      <w:r w:rsidR="0034626B" w:rsidRPr="00680F93">
        <w:rPr>
          <w:rFonts w:ascii="Arial" w:hAnsi="Arial" w:cs="Arial"/>
        </w:rPr>
        <w:t xml:space="preserve"> </w:t>
      </w:r>
      <w:r w:rsidRPr="00680F93">
        <w:rPr>
          <w:rFonts w:ascii="Arial" w:hAnsi="Arial" w:cs="Arial"/>
        </w:rPr>
        <w:t>Act</w:t>
      </w:r>
    </w:p>
    <w:p w14:paraId="76CA4859" w14:textId="77777777" w:rsidR="00B52C38" w:rsidRPr="00680F93" w:rsidRDefault="00B52C38" w:rsidP="00680F93">
      <w:pPr>
        <w:spacing w:line="360" w:lineRule="auto"/>
        <w:ind w:left="1134" w:hanging="567"/>
        <w:rPr>
          <w:rFonts w:ascii="Arial" w:hAnsi="Arial" w:cs="Arial"/>
        </w:rPr>
      </w:pPr>
      <w:r w:rsidRPr="00680F93">
        <w:rPr>
          <w:rFonts w:ascii="Arial" w:hAnsi="Arial" w:cs="Arial"/>
        </w:rPr>
        <w:t xml:space="preserve">b) </w:t>
      </w:r>
      <w:r w:rsidRPr="00680F93">
        <w:rPr>
          <w:rFonts w:ascii="Arial" w:hAnsi="Arial" w:cs="Arial"/>
        </w:rPr>
        <w:tab/>
        <w:t xml:space="preserve">You may write to the Information Commissioner who may make an assessment as to whether it is likely or unlikely that NIJAC has complied with the </w:t>
      </w:r>
      <w:r w:rsidR="0034626B">
        <w:rPr>
          <w:rFonts w:ascii="Arial" w:hAnsi="Arial" w:cs="Arial"/>
        </w:rPr>
        <w:t>2018</w:t>
      </w:r>
      <w:r w:rsidR="0034626B" w:rsidRPr="00680F93">
        <w:rPr>
          <w:rFonts w:ascii="Arial" w:hAnsi="Arial" w:cs="Arial"/>
        </w:rPr>
        <w:t xml:space="preserve"> </w:t>
      </w:r>
      <w:r w:rsidRPr="00680F93">
        <w:rPr>
          <w:rFonts w:ascii="Arial" w:hAnsi="Arial" w:cs="Arial"/>
        </w:rPr>
        <w:t>Act.</w:t>
      </w:r>
    </w:p>
    <w:p w14:paraId="49466BA7" w14:textId="77777777" w:rsidR="00B52C38" w:rsidRPr="00680F93" w:rsidRDefault="00B52C38" w:rsidP="00680F93">
      <w:pPr>
        <w:spacing w:line="360" w:lineRule="auto"/>
        <w:rPr>
          <w:rFonts w:ascii="Arial" w:hAnsi="Arial" w:cs="Arial"/>
          <w:b/>
        </w:rPr>
      </w:pPr>
    </w:p>
    <w:p w14:paraId="2D9CC01C" w14:textId="77777777" w:rsidR="00B52C38" w:rsidRPr="00680F93" w:rsidRDefault="007C27CC" w:rsidP="00680F93">
      <w:pPr>
        <w:spacing w:line="360" w:lineRule="auto"/>
        <w:rPr>
          <w:rFonts w:ascii="Arial" w:hAnsi="Arial" w:cs="Arial"/>
          <w:b/>
        </w:rPr>
      </w:pPr>
      <w:r w:rsidRPr="00680F93">
        <w:rPr>
          <w:rFonts w:ascii="Arial" w:hAnsi="Arial" w:cs="Arial"/>
          <w:b/>
        </w:rPr>
        <w:t>7</w:t>
      </w:r>
      <w:r w:rsidR="00B52C38" w:rsidRPr="00680F93">
        <w:rPr>
          <w:rFonts w:ascii="Arial" w:hAnsi="Arial" w:cs="Arial"/>
          <w:b/>
        </w:rPr>
        <w:t xml:space="preserve">. </w:t>
      </w:r>
      <w:r w:rsidR="00B52C38" w:rsidRPr="00680F93">
        <w:rPr>
          <w:rFonts w:ascii="Arial" w:hAnsi="Arial" w:cs="Arial"/>
          <w:b/>
        </w:rPr>
        <w:tab/>
        <w:t>Responsibility for the Scheme</w:t>
      </w:r>
    </w:p>
    <w:p w14:paraId="7182AEDC" w14:textId="77777777" w:rsidR="00B52C38" w:rsidRPr="00680F93" w:rsidRDefault="00B52C38" w:rsidP="00680F93">
      <w:pPr>
        <w:spacing w:line="360" w:lineRule="auto"/>
        <w:rPr>
          <w:rFonts w:ascii="Arial" w:hAnsi="Arial" w:cs="Arial"/>
        </w:rPr>
      </w:pPr>
    </w:p>
    <w:p w14:paraId="3D7B3312" w14:textId="77777777" w:rsidR="00B52C38" w:rsidRPr="00680F93" w:rsidRDefault="00430212" w:rsidP="0013511A">
      <w:pPr>
        <w:spacing w:line="360" w:lineRule="auto"/>
        <w:ind w:left="720" w:hanging="720"/>
        <w:rPr>
          <w:rFonts w:ascii="Arial" w:hAnsi="Arial" w:cs="Arial"/>
        </w:rPr>
      </w:pPr>
      <w:r>
        <w:rPr>
          <w:rFonts w:ascii="Arial" w:hAnsi="Arial" w:cs="Arial"/>
        </w:rPr>
        <w:t>7.1</w:t>
      </w:r>
      <w:r>
        <w:rPr>
          <w:rFonts w:ascii="Arial" w:hAnsi="Arial" w:cs="Arial"/>
        </w:rPr>
        <w:tab/>
      </w:r>
      <w:r w:rsidR="0072495C" w:rsidRPr="00680F93">
        <w:rPr>
          <w:rFonts w:ascii="Arial" w:hAnsi="Arial" w:cs="Arial"/>
        </w:rPr>
        <w:t>NIJAC’s</w:t>
      </w:r>
      <w:r w:rsidR="00B52C38" w:rsidRPr="00680F93">
        <w:rPr>
          <w:rFonts w:ascii="Arial" w:hAnsi="Arial" w:cs="Arial"/>
        </w:rPr>
        <w:t xml:space="preserve"> </w:t>
      </w:r>
      <w:r w:rsidR="002474D1">
        <w:rPr>
          <w:rFonts w:ascii="Arial" w:hAnsi="Arial" w:cs="Arial"/>
        </w:rPr>
        <w:t>Chief Executive</w:t>
      </w:r>
      <w:r w:rsidR="00B52C38" w:rsidRPr="00680F93">
        <w:rPr>
          <w:rFonts w:ascii="Arial" w:hAnsi="Arial" w:cs="Arial"/>
        </w:rPr>
        <w:t xml:space="preserve"> has overall responsibility for </w:t>
      </w:r>
      <w:r w:rsidR="0072495C" w:rsidRPr="00680F93">
        <w:rPr>
          <w:rFonts w:ascii="Arial" w:hAnsi="Arial" w:cs="Arial"/>
        </w:rPr>
        <w:t xml:space="preserve">the </w:t>
      </w:r>
      <w:r w:rsidR="00B52C38" w:rsidRPr="00680F93">
        <w:rPr>
          <w:rFonts w:ascii="Arial" w:hAnsi="Arial" w:cs="Arial"/>
        </w:rPr>
        <w:t>Publication Scheme.</w:t>
      </w:r>
    </w:p>
    <w:p w14:paraId="3A630AD6" w14:textId="77777777" w:rsidR="00B52C38" w:rsidRPr="00680F93" w:rsidRDefault="00B52C38" w:rsidP="00680F93">
      <w:pPr>
        <w:spacing w:line="360" w:lineRule="auto"/>
        <w:rPr>
          <w:rFonts w:ascii="Arial" w:hAnsi="Arial" w:cs="Arial"/>
        </w:rPr>
      </w:pPr>
    </w:p>
    <w:p w14:paraId="04A390A8" w14:textId="2D2CCC4E" w:rsidR="00B52C38" w:rsidRPr="00680F93" w:rsidRDefault="00430212" w:rsidP="0013511A">
      <w:pPr>
        <w:spacing w:line="360" w:lineRule="auto"/>
        <w:ind w:left="720" w:hanging="720"/>
        <w:rPr>
          <w:rFonts w:ascii="Arial" w:hAnsi="Arial" w:cs="Arial"/>
        </w:rPr>
      </w:pPr>
      <w:r>
        <w:rPr>
          <w:rFonts w:ascii="Arial" w:hAnsi="Arial" w:cs="Arial"/>
        </w:rPr>
        <w:t>7.2</w:t>
      </w:r>
      <w:r>
        <w:rPr>
          <w:rFonts w:ascii="Arial" w:hAnsi="Arial" w:cs="Arial"/>
        </w:rPr>
        <w:tab/>
      </w:r>
      <w:r w:rsidR="00B52C38" w:rsidRPr="00680F93">
        <w:rPr>
          <w:rFonts w:ascii="Arial" w:hAnsi="Arial" w:cs="Arial"/>
        </w:rPr>
        <w:t>However, the person responsible for the Publication Scheme</w:t>
      </w:r>
      <w:r w:rsidR="00453D3D">
        <w:rPr>
          <w:rFonts w:ascii="Arial" w:hAnsi="Arial" w:cs="Arial"/>
        </w:rPr>
        <w:t xml:space="preserve"> on an operational basis</w:t>
      </w:r>
      <w:r w:rsidR="00B52C38" w:rsidRPr="00680F93">
        <w:rPr>
          <w:rFonts w:ascii="Arial" w:hAnsi="Arial" w:cs="Arial"/>
        </w:rPr>
        <w:t xml:space="preserve"> is: </w:t>
      </w:r>
    </w:p>
    <w:p w14:paraId="11F13980" w14:textId="77777777" w:rsidR="00B52C38" w:rsidRPr="00680F93" w:rsidRDefault="00B52C38" w:rsidP="00680F93">
      <w:pPr>
        <w:spacing w:line="360" w:lineRule="auto"/>
        <w:rPr>
          <w:rFonts w:ascii="Arial" w:hAnsi="Arial" w:cs="Arial"/>
        </w:rPr>
      </w:pPr>
    </w:p>
    <w:p w14:paraId="6E37AD60" w14:textId="6816B164" w:rsidR="00B52C38" w:rsidRPr="00680F93" w:rsidRDefault="00B52C38" w:rsidP="00680F93">
      <w:pPr>
        <w:spacing w:line="360" w:lineRule="auto"/>
        <w:ind w:left="1134"/>
        <w:rPr>
          <w:rFonts w:ascii="Arial" w:hAnsi="Arial" w:cs="Arial"/>
        </w:rPr>
      </w:pPr>
      <w:r w:rsidRPr="00680F93">
        <w:rPr>
          <w:rFonts w:ascii="Arial" w:hAnsi="Arial" w:cs="Arial"/>
        </w:rPr>
        <w:t xml:space="preserve">Director of </w:t>
      </w:r>
      <w:r w:rsidR="0085412E">
        <w:rPr>
          <w:rFonts w:ascii="Arial" w:hAnsi="Arial" w:cs="Arial"/>
        </w:rPr>
        <w:t>Finance and Corporate Services</w:t>
      </w:r>
    </w:p>
    <w:p w14:paraId="69033FD2" w14:textId="77777777" w:rsidR="00B52C38" w:rsidRPr="00680F93" w:rsidRDefault="00B52C38" w:rsidP="00680F93">
      <w:pPr>
        <w:spacing w:line="360" w:lineRule="auto"/>
        <w:ind w:left="1134"/>
        <w:rPr>
          <w:rFonts w:ascii="Arial" w:hAnsi="Arial" w:cs="Arial"/>
        </w:rPr>
      </w:pPr>
      <w:r w:rsidRPr="00680F93">
        <w:rPr>
          <w:rFonts w:ascii="Arial" w:hAnsi="Arial" w:cs="Arial"/>
        </w:rPr>
        <w:t>Northern Ireland Judicial Appointments Commission</w:t>
      </w:r>
    </w:p>
    <w:p w14:paraId="3CB4568C" w14:textId="77777777" w:rsidR="00B52C38" w:rsidRPr="00680F93" w:rsidRDefault="00B52C38" w:rsidP="00680F93">
      <w:pPr>
        <w:spacing w:line="360" w:lineRule="auto"/>
        <w:ind w:left="1134"/>
        <w:rPr>
          <w:rFonts w:ascii="Arial" w:hAnsi="Arial" w:cs="Arial"/>
        </w:rPr>
      </w:pPr>
      <w:r w:rsidRPr="00680F93">
        <w:rPr>
          <w:rFonts w:ascii="Arial" w:hAnsi="Arial" w:cs="Arial"/>
        </w:rPr>
        <w:t>Headline Building</w:t>
      </w:r>
    </w:p>
    <w:p w14:paraId="6D690AFA" w14:textId="77777777" w:rsidR="00B52C38" w:rsidRPr="00680F93" w:rsidRDefault="00B52C38" w:rsidP="00680F93">
      <w:pPr>
        <w:spacing w:line="360" w:lineRule="auto"/>
        <w:ind w:left="1134"/>
        <w:rPr>
          <w:rFonts w:ascii="Arial" w:hAnsi="Arial" w:cs="Arial"/>
        </w:rPr>
      </w:pPr>
      <w:r w:rsidRPr="00680F93">
        <w:rPr>
          <w:rFonts w:ascii="Arial" w:hAnsi="Arial" w:cs="Arial"/>
        </w:rPr>
        <w:t>10-14 Victoria Street</w:t>
      </w:r>
    </w:p>
    <w:p w14:paraId="71D71C04" w14:textId="77777777" w:rsidR="00B52C38" w:rsidRPr="00680F93" w:rsidRDefault="00B52C38" w:rsidP="00680F93">
      <w:pPr>
        <w:spacing w:line="360" w:lineRule="auto"/>
        <w:ind w:left="1134"/>
        <w:rPr>
          <w:rFonts w:ascii="Arial" w:hAnsi="Arial" w:cs="Arial"/>
        </w:rPr>
      </w:pPr>
      <w:r w:rsidRPr="00680F93">
        <w:rPr>
          <w:rFonts w:ascii="Arial" w:hAnsi="Arial" w:cs="Arial"/>
        </w:rPr>
        <w:t>Belfast BT1 3GG</w:t>
      </w:r>
    </w:p>
    <w:p w14:paraId="645AC7C0" w14:textId="77777777" w:rsidR="00B52C38" w:rsidRPr="00680F93" w:rsidRDefault="00B52C38" w:rsidP="00680F93">
      <w:pPr>
        <w:spacing w:line="360" w:lineRule="auto"/>
        <w:rPr>
          <w:rFonts w:ascii="Arial" w:hAnsi="Arial" w:cs="Arial"/>
        </w:rPr>
      </w:pPr>
    </w:p>
    <w:p w14:paraId="09AE0C29" w14:textId="700989AC" w:rsidR="00B52C38" w:rsidRPr="00680F93" w:rsidRDefault="00430212" w:rsidP="0013511A">
      <w:pPr>
        <w:spacing w:line="360" w:lineRule="auto"/>
        <w:ind w:left="720" w:hanging="720"/>
        <w:rPr>
          <w:rFonts w:ascii="Arial" w:hAnsi="Arial" w:cs="Arial"/>
        </w:rPr>
      </w:pPr>
      <w:r>
        <w:rPr>
          <w:rFonts w:ascii="Arial" w:hAnsi="Arial" w:cs="Arial"/>
        </w:rPr>
        <w:lastRenderedPageBreak/>
        <w:t>7.3</w:t>
      </w:r>
      <w:r>
        <w:rPr>
          <w:rFonts w:ascii="Arial" w:hAnsi="Arial" w:cs="Arial"/>
        </w:rPr>
        <w:tab/>
      </w:r>
      <w:r w:rsidR="00B52C38" w:rsidRPr="00680F93">
        <w:rPr>
          <w:rFonts w:ascii="Arial" w:hAnsi="Arial" w:cs="Arial"/>
        </w:rPr>
        <w:t xml:space="preserve">If you wish to obtain a hard copy of any of the publications contained within the Scheme, please write to </w:t>
      </w:r>
      <w:r w:rsidR="0013511A">
        <w:rPr>
          <w:rFonts w:ascii="Arial" w:hAnsi="Arial" w:cs="Arial"/>
        </w:rPr>
        <w:t>the</w:t>
      </w:r>
      <w:r w:rsidR="00F26AD6">
        <w:rPr>
          <w:rFonts w:ascii="Arial" w:hAnsi="Arial" w:cs="Arial"/>
        </w:rPr>
        <w:t xml:space="preserve"> Director –</w:t>
      </w:r>
      <w:r w:rsidR="00B52C38" w:rsidRPr="00680F93">
        <w:rPr>
          <w:rFonts w:ascii="Arial" w:hAnsi="Arial" w:cs="Arial"/>
        </w:rPr>
        <w:t xml:space="preserve"> at the above address or</w:t>
      </w:r>
      <w:r w:rsidR="00E6492C" w:rsidRPr="00680F93" w:rsidDel="00E6492C">
        <w:rPr>
          <w:rFonts w:ascii="Arial" w:hAnsi="Arial" w:cs="Arial"/>
        </w:rPr>
        <w:t xml:space="preserve"> </w:t>
      </w:r>
      <w:r w:rsidR="00E6492C">
        <w:rPr>
          <w:rFonts w:ascii="Arial" w:hAnsi="Arial" w:cs="Arial"/>
        </w:rPr>
        <w:t xml:space="preserve">via email: </w:t>
      </w:r>
      <w:hyperlink r:id="rId12" w:history="1">
        <w:r w:rsidR="0085412E" w:rsidRPr="00A20E89">
          <w:rPr>
            <w:rStyle w:val="Hyperlink"/>
            <w:rFonts w:ascii="Arial" w:hAnsi="Arial" w:cs="Arial"/>
          </w:rPr>
          <w:t>finance@nijac.gov.uk</w:t>
        </w:r>
      </w:hyperlink>
      <w:r w:rsidR="0085412E">
        <w:rPr>
          <w:rFonts w:ascii="Arial" w:hAnsi="Arial" w:cs="Arial"/>
        </w:rPr>
        <w:t xml:space="preserve"> </w:t>
      </w:r>
    </w:p>
    <w:p w14:paraId="75153A96" w14:textId="77777777" w:rsidR="007C27CC" w:rsidRPr="00680F93" w:rsidRDefault="007C27CC" w:rsidP="00680F93">
      <w:pPr>
        <w:spacing w:line="360" w:lineRule="auto"/>
        <w:rPr>
          <w:rFonts w:ascii="Arial" w:hAnsi="Arial" w:cs="Arial"/>
          <w:b/>
        </w:rPr>
      </w:pPr>
    </w:p>
    <w:p w14:paraId="4A758773" w14:textId="77777777" w:rsidR="00B52C38" w:rsidRPr="00680F93" w:rsidRDefault="007C27CC" w:rsidP="00680F93">
      <w:pPr>
        <w:spacing w:line="360" w:lineRule="auto"/>
        <w:rPr>
          <w:rFonts w:ascii="Arial" w:hAnsi="Arial" w:cs="Arial"/>
          <w:b/>
        </w:rPr>
      </w:pPr>
      <w:r w:rsidRPr="00680F93">
        <w:rPr>
          <w:rFonts w:ascii="Arial" w:hAnsi="Arial" w:cs="Arial"/>
          <w:b/>
        </w:rPr>
        <w:t>8</w:t>
      </w:r>
      <w:r w:rsidR="00B52C38" w:rsidRPr="00680F93">
        <w:rPr>
          <w:rFonts w:ascii="Arial" w:hAnsi="Arial" w:cs="Arial"/>
          <w:b/>
        </w:rPr>
        <w:t xml:space="preserve">. </w:t>
      </w:r>
      <w:r w:rsidR="00B52C38" w:rsidRPr="00680F93">
        <w:rPr>
          <w:rFonts w:ascii="Arial" w:hAnsi="Arial" w:cs="Arial"/>
          <w:b/>
        </w:rPr>
        <w:tab/>
        <w:t>Comments and Complaints about the Scheme</w:t>
      </w:r>
    </w:p>
    <w:p w14:paraId="19DA2377" w14:textId="77777777" w:rsidR="00B52C38" w:rsidRPr="00680F93" w:rsidRDefault="00B52C38" w:rsidP="00680F93">
      <w:pPr>
        <w:spacing w:line="360" w:lineRule="auto"/>
        <w:rPr>
          <w:rFonts w:ascii="Arial" w:hAnsi="Arial" w:cs="Arial"/>
        </w:rPr>
      </w:pPr>
    </w:p>
    <w:p w14:paraId="608F5A27" w14:textId="77777777" w:rsidR="00B52C38" w:rsidRPr="00680F93" w:rsidRDefault="00430212" w:rsidP="0013511A">
      <w:pPr>
        <w:spacing w:line="360" w:lineRule="auto"/>
        <w:ind w:left="720" w:hanging="720"/>
        <w:rPr>
          <w:rFonts w:ascii="Arial" w:hAnsi="Arial" w:cs="Arial"/>
        </w:rPr>
      </w:pPr>
      <w:r>
        <w:rPr>
          <w:rFonts w:ascii="Arial" w:hAnsi="Arial" w:cs="Arial"/>
        </w:rPr>
        <w:t>8.1</w:t>
      </w:r>
      <w:r>
        <w:rPr>
          <w:rFonts w:ascii="Arial" w:hAnsi="Arial" w:cs="Arial"/>
        </w:rPr>
        <w:tab/>
      </w:r>
      <w:r w:rsidR="00B52C38" w:rsidRPr="00680F93">
        <w:rPr>
          <w:rFonts w:ascii="Arial" w:hAnsi="Arial" w:cs="Arial"/>
        </w:rPr>
        <w:t>If you have any comments</w:t>
      </w:r>
      <w:r w:rsidR="000B4F73" w:rsidRPr="00680F93">
        <w:rPr>
          <w:rFonts w:ascii="Arial" w:hAnsi="Arial" w:cs="Arial"/>
        </w:rPr>
        <w:t>, or complaints,</w:t>
      </w:r>
      <w:r w:rsidR="00B52C38" w:rsidRPr="00680F93">
        <w:rPr>
          <w:rFonts w:ascii="Arial" w:hAnsi="Arial" w:cs="Arial"/>
        </w:rPr>
        <w:t xml:space="preserve"> about our Publication Scheme or if you think we have not supplied information in accordance with our Scheme then you should write to NIJAC (at the address/email address above) in the first instance setting out your reasons. </w:t>
      </w:r>
    </w:p>
    <w:p w14:paraId="768286C5" w14:textId="77777777" w:rsidR="00B52C38" w:rsidRPr="00680F93" w:rsidRDefault="00B52C38" w:rsidP="00680F93">
      <w:pPr>
        <w:spacing w:line="360" w:lineRule="auto"/>
        <w:rPr>
          <w:rFonts w:ascii="Arial" w:hAnsi="Arial" w:cs="Arial"/>
        </w:rPr>
      </w:pPr>
    </w:p>
    <w:p w14:paraId="08793665" w14:textId="77777777" w:rsidR="00B52C38" w:rsidRPr="00680F93" w:rsidRDefault="00430212" w:rsidP="0013511A">
      <w:pPr>
        <w:spacing w:line="360" w:lineRule="auto"/>
        <w:ind w:left="720" w:hanging="720"/>
        <w:rPr>
          <w:rFonts w:ascii="Arial" w:hAnsi="Arial" w:cs="Arial"/>
        </w:rPr>
      </w:pPr>
      <w:r>
        <w:rPr>
          <w:rFonts w:ascii="Arial" w:hAnsi="Arial" w:cs="Arial"/>
        </w:rPr>
        <w:t>8.2</w:t>
      </w:r>
      <w:r>
        <w:rPr>
          <w:rFonts w:ascii="Arial" w:hAnsi="Arial" w:cs="Arial"/>
        </w:rPr>
        <w:tab/>
      </w:r>
      <w:r w:rsidR="00B52C38" w:rsidRPr="00680F93">
        <w:rPr>
          <w:rFonts w:ascii="Arial" w:hAnsi="Arial" w:cs="Arial"/>
        </w:rPr>
        <w:t xml:space="preserve">NIJAC will </w:t>
      </w:r>
      <w:r w:rsidR="000B4F73" w:rsidRPr="00680F93">
        <w:rPr>
          <w:rFonts w:ascii="Arial" w:hAnsi="Arial" w:cs="Arial"/>
        </w:rPr>
        <w:t xml:space="preserve">address your comments or </w:t>
      </w:r>
      <w:r w:rsidR="00B52C38" w:rsidRPr="00680F93">
        <w:rPr>
          <w:rFonts w:ascii="Arial" w:hAnsi="Arial" w:cs="Arial"/>
        </w:rPr>
        <w:t xml:space="preserve">investigate your complaint and communicate a decision to you. </w:t>
      </w:r>
    </w:p>
    <w:p w14:paraId="2D2879DD" w14:textId="77777777" w:rsidR="00B52C38" w:rsidRPr="00680F93" w:rsidRDefault="00B52C38" w:rsidP="00680F93">
      <w:pPr>
        <w:spacing w:line="360" w:lineRule="auto"/>
        <w:rPr>
          <w:rFonts w:ascii="Arial" w:hAnsi="Arial" w:cs="Arial"/>
        </w:rPr>
      </w:pPr>
    </w:p>
    <w:p w14:paraId="04D7DD78" w14:textId="77777777" w:rsidR="00B52C38" w:rsidRPr="00680F93" w:rsidRDefault="00430212" w:rsidP="0013511A">
      <w:pPr>
        <w:spacing w:line="360" w:lineRule="auto"/>
        <w:ind w:left="720" w:hanging="720"/>
        <w:rPr>
          <w:rFonts w:ascii="Arial" w:hAnsi="Arial" w:cs="Arial"/>
        </w:rPr>
      </w:pPr>
      <w:r>
        <w:rPr>
          <w:rFonts w:ascii="Arial" w:hAnsi="Arial" w:cs="Arial"/>
        </w:rPr>
        <w:t>8.3</w:t>
      </w:r>
      <w:r>
        <w:rPr>
          <w:rFonts w:ascii="Arial" w:hAnsi="Arial" w:cs="Arial"/>
        </w:rPr>
        <w:tab/>
      </w:r>
      <w:r w:rsidR="00B52C38" w:rsidRPr="00680F93">
        <w:rPr>
          <w:rFonts w:ascii="Arial" w:hAnsi="Arial" w:cs="Arial"/>
        </w:rPr>
        <w:t>If, after investigation of your complaint, you remain dissatisfied then you may ask for the matter to be reviewed internally.</w:t>
      </w:r>
    </w:p>
    <w:p w14:paraId="6857F153" w14:textId="77777777" w:rsidR="00B52C38" w:rsidRPr="00680F93" w:rsidRDefault="00B52C38" w:rsidP="00680F93">
      <w:pPr>
        <w:spacing w:line="360" w:lineRule="auto"/>
        <w:rPr>
          <w:rFonts w:ascii="Arial" w:hAnsi="Arial" w:cs="Arial"/>
        </w:rPr>
      </w:pPr>
    </w:p>
    <w:p w14:paraId="10D1E7DA" w14:textId="77777777" w:rsidR="00B52C38" w:rsidRPr="00680F93" w:rsidRDefault="00430212" w:rsidP="0013511A">
      <w:pPr>
        <w:spacing w:line="360" w:lineRule="auto"/>
        <w:ind w:left="720" w:hanging="720"/>
        <w:rPr>
          <w:rFonts w:ascii="Arial" w:hAnsi="Arial" w:cs="Arial"/>
        </w:rPr>
      </w:pPr>
      <w:r>
        <w:rPr>
          <w:rFonts w:ascii="Arial" w:hAnsi="Arial" w:cs="Arial"/>
        </w:rPr>
        <w:t>8.4</w:t>
      </w:r>
      <w:r>
        <w:rPr>
          <w:rFonts w:ascii="Arial" w:hAnsi="Arial" w:cs="Arial"/>
        </w:rPr>
        <w:tab/>
      </w:r>
      <w:r w:rsidR="00B52C38" w:rsidRPr="00680F93">
        <w:rPr>
          <w:rFonts w:ascii="Arial" w:hAnsi="Arial" w:cs="Arial"/>
        </w:rPr>
        <w:t>We shall aim to conduct and complete the investigation of your complaint within 2</w:t>
      </w:r>
      <w:r w:rsidR="00722044" w:rsidRPr="00680F93">
        <w:rPr>
          <w:rFonts w:ascii="Arial" w:hAnsi="Arial" w:cs="Arial"/>
        </w:rPr>
        <w:t xml:space="preserve">8 </w:t>
      </w:r>
      <w:r w:rsidR="00B52C38" w:rsidRPr="00680F93">
        <w:rPr>
          <w:rFonts w:ascii="Arial" w:hAnsi="Arial" w:cs="Arial"/>
        </w:rPr>
        <w:t>days. We shall also aim to complete any internal review within 2</w:t>
      </w:r>
      <w:r w:rsidR="00722044" w:rsidRPr="00680F93">
        <w:rPr>
          <w:rFonts w:ascii="Arial" w:hAnsi="Arial" w:cs="Arial"/>
        </w:rPr>
        <w:t>8</w:t>
      </w:r>
      <w:r w:rsidR="00B52C38" w:rsidRPr="00680F93">
        <w:rPr>
          <w:rFonts w:ascii="Arial" w:hAnsi="Arial" w:cs="Arial"/>
        </w:rPr>
        <w:t xml:space="preserve"> days of being notified of your decision to seek an internal review.</w:t>
      </w:r>
    </w:p>
    <w:p w14:paraId="5FB862D8" w14:textId="77777777" w:rsidR="00B52C38" w:rsidRPr="00680F93" w:rsidRDefault="00B52C38" w:rsidP="00680F93">
      <w:pPr>
        <w:spacing w:line="360" w:lineRule="auto"/>
        <w:rPr>
          <w:rFonts w:ascii="Arial" w:hAnsi="Arial" w:cs="Arial"/>
        </w:rPr>
      </w:pPr>
    </w:p>
    <w:p w14:paraId="3FB4F1B4" w14:textId="77777777" w:rsidR="00B52C38" w:rsidRPr="00680F93" w:rsidRDefault="00430212" w:rsidP="0013511A">
      <w:pPr>
        <w:spacing w:line="360" w:lineRule="auto"/>
        <w:ind w:left="720" w:hanging="720"/>
        <w:rPr>
          <w:rFonts w:ascii="Arial" w:hAnsi="Arial" w:cs="Arial"/>
        </w:rPr>
      </w:pPr>
      <w:r>
        <w:rPr>
          <w:rFonts w:ascii="Arial" w:hAnsi="Arial" w:cs="Arial"/>
        </w:rPr>
        <w:t>8.5</w:t>
      </w:r>
      <w:r>
        <w:rPr>
          <w:rFonts w:ascii="Arial" w:hAnsi="Arial" w:cs="Arial"/>
        </w:rPr>
        <w:tab/>
      </w:r>
      <w:r w:rsidR="00B52C38" w:rsidRPr="00680F93">
        <w:rPr>
          <w:rFonts w:ascii="Arial" w:hAnsi="Arial" w:cs="Arial"/>
        </w:rPr>
        <w:t xml:space="preserve">If you are still dissatisfied then you may refer your complaint to the Information Commissioner (see contact details below). </w:t>
      </w:r>
    </w:p>
    <w:p w14:paraId="1BA95C30" w14:textId="77777777" w:rsidR="00B52C38" w:rsidRPr="00680F93" w:rsidRDefault="00B52C38" w:rsidP="00680F93">
      <w:pPr>
        <w:spacing w:line="360" w:lineRule="auto"/>
        <w:rPr>
          <w:rFonts w:ascii="Arial" w:hAnsi="Arial" w:cs="Arial"/>
        </w:rPr>
      </w:pPr>
    </w:p>
    <w:p w14:paraId="4B425017" w14:textId="77777777" w:rsidR="00B52C38" w:rsidRPr="00680F93" w:rsidRDefault="00B52C38" w:rsidP="00680F93">
      <w:pPr>
        <w:spacing w:line="360" w:lineRule="auto"/>
        <w:ind w:left="1134"/>
        <w:rPr>
          <w:rFonts w:ascii="Arial" w:hAnsi="Arial" w:cs="Arial"/>
        </w:rPr>
      </w:pPr>
      <w:r w:rsidRPr="00680F93">
        <w:rPr>
          <w:rFonts w:ascii="Arial" w:hAnsi="Arial" w:cs="Arial"/>
        </w:rPr>
        <w:t>Information Commissioner</w:t>
      </w:r>
    </w:p>
    <w:p w14:paraId="4A07541A" w14:textId="77777777" w:rsidR="00B52C38" w:rsidRPr="00680F93" w:rsidRDefault="00B52C38" w:rsidP="00680F93">
      <w:pPr>
        <w:spacing w:line="360" w:lineRule="auto"/>
        <w:ind w:left="1134"/>
        <w:rPr>
          <w:rFonts w:ascii="Arial" w:hAnsi="Arial" w:cs="Arial"/>
        </w:rPr>
      </w:pPr>
      <w:r w:rsidRPr="00680F93">
        <w:rPr>
          <w:rFonts w:ascii="Arial" w:hAnsi="Arial" w:cs="Arial"/>
        </w:rPr>
        <w:t>51 Adelaide Street</w:t>
      </w:r>
    </w:p>
    <w:p w14:paraId="163249CE" w14:textId="77777777" w:rsidR="00B52C38" w:rsidRPr="00680F93" w:rsidRDefault="00B52C38" w:rsidP="00680F93">
      <w:pPr>
        <w:spacing w:line="360" w:lineRule="auto"/>
        <w:ind w:left="1134"/>
        <w:rPr>
          <w:rFonts w:ascii="Arial" w:hAnsi="Arial" w:cs="Arial"/>
        </w:rPr>
      </w:pPr>
      <w:r w:rsidRPr="00680F93">
        <w:rPr>
          <w:rFonts w:ascii="Arial" w:hAnsi="Arial" w:cs="Arial"/>
        </w:rPr>
        <w:t>Belfast</w:t>
      </w:r>
    </w:p>
    <w:p w14:paraId="22462DF1" w14:textId="77777777" w:rsidR="00B52C38" w:rsidRPr="00680F93" w:rsidRDefault="00B52C38" w:rsidP="00680F93">
      <w:pPr>
        <w:spacing w:line="360" w:lineRule="auto"/>
        <w:ind w:left="1134"/>
        <w:rPr>
          <w:rFonts w:ascii="Arial" w:hAnsi="Arial" w:cs="Arial"/>
        </w:rPr>
      </w:pPr>
      <w:r w:rsidRPr="00680F93">
        <w:rPr>
          <w:rFonts w:ascii="Arial" w:hAnsi="Arial" w:cs="Arial"/>
        </w:rPr>
        <w:t>BT2 8FE</w:t>
      </w:r>
    </w:p>
    <w:p w14:paraId="795D42AD" w14:textId="77777777" w:rsidR="00B52C38" w:rsidRPr="00680F93" w:rsidRDefault="00B52C38" w:rsidP="00680F93">
      <w:pPr>
        <w:spacing w:line="360" w:lineRule="auto"/>
        <w:ind w:left="1134"/>
        <w:rPr>
          <w:rFonts w:ascii="Arial" w:hAnsi="Arial" w:cs="Arial"/>
        </w:rPr>
      </w:pPr>
      <w:r w:rsidRPr="00680F93">
        <w:rPr>
          <w:rFonts w:ascii="Arial" w:hAnsi="Arial" w:cs="Arial"/>
        </w:rPr>
        <w:t>Tel: 028 9026</w:t>
      </w:r>
      <w:r w:rsidR="00430212">
        <w:rPr>
          <w:rFonts w:ascii="Arial" w:hAnsi="Arial" w:cs="Arial"/>
        </w:rPr>
        <w:t xml:space="preserve"> </w:t>
      </w:r>
      <w:r w:rsidRPr="00680F93">
        <w:rPr>
          <w:rFonts w:ascii="Arial" w:hAnsi="Arial" w:cs="Arial"/>
        </w:rPr>
        <w:t>9300</w:t>
      </w:r>
    </w:p>
    <w:p w14:paraId="09D3D5AC" w14:textId="77777777" w:rsidR="00B52C38" w:rsidRPr="00680F93" w:rsidRDefault="00B52C38" w:rsidP="00680F93">
      <w:pPr>
        <w:spacing w:line="360" w:lineRule="auto"/>
        <w:ind w:left="1134"/>
        <w:rPr>
          <w:rFonts w:ascii="Arial" w:hAnsi="Arial" w:cs="Arial"/>
        </w:rPr>
      </w:pPr>
      <w:r w:rsidRPr="00680F93">
        <w:rPr>
          <w:rFonts w:ascii="Arial" w:hAnsi="Arial" w:cs="Arial"/>
        </w:rPr>
        <w:t>Fax: 028 9026</w:t>
      </w:r>
      <w:r w:rsidR="00430212">
        <w:rPr>
          <w:rFonts w:ascii="Arial" w:hAnsi="Arial" w:cs="Arial"/>
        </w:rPr>
        <w:t xml:space="preserve"> </w:t>
      </w:r>
      <w:r w:rsidRPr="00680F93">
        <w:rPr>
          <w:rFonts w:ascii="Arial" w:hAnsi="Arial" w:cs="Arial"/>
        </w:rPr>
        <w:t>9388</w:t>
      </w:r>
    </w:p>
    <w:p w14:paraId="1EB8CD7A" w14:textId="77777777" w:rsidR="00B52C38" w:rsidRDefault="00B52C38" w:rsidP="00680F93">
      <w:pPr>
        <w:spacing w:line="360" w:lineRule="auto"/>
        <w:ind w:left="1134"/>
        <w:rPr>
          <w:rStyle w:val="Hyperlink"/>
          <w:rFonts w:ascii="Arial" w:hAnsi="Arial" w:cs="Arial"/>
        </w:rPr>
      </w:pPr>
      <w:r w:rsidRPr="00680F93">
        <w:rPr>
          <w:rFonts w:ascii="Arial" w:hAnsi="Arial" w:cs="Arial"/>
        </w:rPr>
        <w:t xml:space="preserve">Email: </w:t>
      </w:r>
      <w:hyperlink r:id="rId13" w:history="1">
        <w:r w:rsidRPr="00680F93">
          <w:rPr>
            <w:rStyle w:val="Hyperlink"/>
            <w:rFonts w:ascii="Arial" w:hAnsi="Arial" w:cs="Arial"/>
          </w:rPr>
          <w:t>ni@ico.gsi.gov.uk</w:t>
        </w:r>
      </w:hyperlink>
    </w:p>
    <w:p w14:paraId="32AF7852" w14:textId="77777777" w:rsidR="00B742C6" w:rsidRDefault="00B742C6" w:rsidP="00680F93">
      <w:pPr>
        <w:spacing w:line="360" w:lineRule="auto"/>
        <w:ind w:left="1134"/>
        <w:rPr>
          <w:rStyle w:val="Hyperlink"/>
          <w:rFonts w:ascii="Arial" w:hAnsi="Arial" w:cs="Arial"/>
        </w:rPr>
      </w:pPr>
    </w:p>
    <w:p w14:paraId="10A7A1B5" w14:textId="77777777" w:rsidR="006372CB" w:rsidRDefault="006372CB" w:rsidP="00680F93">
      <w:pPr>
        <w:spacing w:line="360" w:lineRule="auto"/>
        <w:ind w:left="1134"/>
        <w:rPr>
          <w:rStyle w:val="Hyperlink"/>
          <w:rFonts w:ascii="Arial" w:hAnsi="Arial" w:cs="Arial"/>
        </w:rPr>
      </w:pPr>
    </w:p>
    <w:p w14:paraId="09F34DE9" w14:textId="77777777" w:rsidR="0013511A" w:rsidRDefault="0013511A" w:rsidP="00680F93">
      <w:pPr>
        <w:spacing w:line="360" w:lineRule="auto"/>
        <w:ind w:left="1134"/>
        <w:rPr>
          <w:rStyle w:val="Hyperlink"/>
          <w:rFonts w:ascii="Arial" w:hAnsi="Arial" w:cs="Arial"/>
        </w:rPr>
      </w:pPr>
    </w:p>
    <w:p w14:paraId="56009D1D" w14:textId="77777777" w:rsidR="00F26AD6" w:rsidRDefault="00430212" w:rsidP="00F26AD6">
      <w:pPr>
        <w:spacing w:line="360" w:lineRule="auto"/>
        <w:rPr>
          <w:rFonts w:ascii="Arial" w:hAnsi="Arial" w:cs="Arial"/>
          <w:b/>
        </w:rPr>
      </w:pPr>
      <w:r>
        <w:rPr>
          <w:rFonts w:ascii="Arial" w:hAnsi="Arial" w:cs="Arial"/>
          <w:b/>
        </w:rPr>
        <w:lastRenderedPageBreak/>
        <w:t>9</w:t>
      </w:r>
      <w:r w:rsidR="00F26AD6" w:rsidRPr="00283283">
        <w:rPr>
          <w:rFonts w:ascii="Arial" w:hAnsi="Arial" w:cs="Arial"/>
          <w:b/>
        </w:rPr>
        <w:t>. Variation of policy</w:t>
      </w:r>
    </w:p>
    <w:p w14:paraId="70984796" w14:textId="77777777" w:rsidR="00F26AD6" w:rsidRPr="00283283" w:rsidRDefault="00F26AD6" w:rsidP="00F26AD6">
      <w:pPr>
        <w:spacing w:line="360" w:lineRule="auto"/>
        <w:rPr>
          <w:rFonts w:ascii="Arial" w:hAnsi="Arial" w:cs="Arial"/>
          <w:b/>
        </w:rPr>
      </w:pPr>
    </w:p>
    <w:p w14:paraId="1CFF2E78" w14:textId="77777777" w:rsidR="00F26AD6" w:rsidRPr="00283283" w:rsidRDefault="00430212" w:rsidP="006372CB">
      <w:pPr>
        <w:spacing w:line="360" w:lineRule="auto"/>
        <w:ind w:left="720" w:hanging="720"/>
        <w:rPr>
          <w:rFonts w:ascii="Arial" w:hAnsi="Arial" w:cs="Arial"/>
        </w:rPr>
      </w:pPr>
      <w:r>
        <w:rPr>
          <w:rFonts w:ascii="Arial" w:hAnsi="Arial" w:cs="Arial"/>
        </w:rPr>
        <w:t>9</w:t>
      </w:r>
      <w:r w:rsidR="00F26AD6">
        <w:rPr>
          <w:rFonts w:ascii="Arial" w:hAnsi="Arial" w:cs="Arial"/>
        </w:rPr>
        <w:t>.1</w:t>
      </w:r>
      <w:r w:rsidR="00F26AD6" w:rsidRPr="008C6DD8">
        <w:rPr>
          <w:rFonts w:ascii="Arial" w:hAnsi="Arial" w:cs="Arial"/>
        </w:rPr>
        <w:t xml:space="preserve"> </w:t>
      </w:r>
      <w:r w:rsidR="006372CB">
        <w:rPr>
          <w:rFonts w:ascii="Arial" w:hAnsi="Arial" w:cs="Arial"/>
        </w:rPr>
        <w:tab/>
      </w:r>
      <w:r w:rsidR="00F26AD6" w:rsidRPr="008C6DD8">
        <w:rPr>
          <w:rFonts w:ascii="Arial" w:hAnsi="Arial" w:cs="Arial"/>
        </w:rPr>
        <w:t>This policy, or the arrangements under it, may be varied, amended or adjusted at any time.</w:t>
      </w:r>
    </w:p>
    <w:p w14:paraId="04A67781" w14:textId="77777777" w:rsidR="00F26AD6" w:rsidRPr="00283283" w:rsidRDefault="00F26AD6" w:rsidP="00F26AD6">
      <w:pPr>
        <w:tabs>
          <w:tab w:val="left" w:pos="880"/>
        </w:tabs>
        <w:spacing w:line="360" w:lineRule="auto"/>
        <w:ind w:right="57"/>
        <w:rPr>
          <w:rFonts w:ascii="Arial" w:hAnsi="Arial" w:cs="Arial"/>
          <w:b/>
        </w:rPr>
      </w:pPr>
    </w:p>
    <w:p w14:paraId="01435567" w14:textId="77777777" w:rsidR="00F26AD6" w:rsidRPr="00283283" w:rsidRDefault="00430212" w:rsidP="00F26AD6">
      <w:pPr>
        <w:tabs>
          <w:tab w:val="left" w:pos="880"/>
        </w:tabs>
        <w:spacing w:line="360" w:lineRule="auto"/>
        <w:ind w:right="57"/>
        <w:rPr>
          <w:rFonts w:ascii="Arial" w:hAnsi="Arial" w:cs="Arial"/>
        </w:rPr>
      </w:pPr>
      <w:r>
        <w:rPr>
          <w:rFonts w:ascii="Arial" w:hAnsi="Arial" w:cs="Arial"/>
          <w:b/>
        </w:rPr>
        <w:t>10</w:t>
      </w:r>
      <w:r w:rsidR="00F26AD6" w:rsidRPr="00283283">
        <w:rPr>
          <w:rFonts w:ascii="Arial" w:hAnsi="Arial" w:cs="Arial"/>
          <w:b/>
        </w:rPr>
        <w:t>.</w:t>
      </w:r>
      <w:r w:rsidR="00F26AD6" w:rsidRPr="00283283">
        <w:rPr>
          <w:rFonts w:ascii="Arial" w:hAnsi="Arial" w:cs="Arial"/>
        </w:rPr>
        <w:t xml:space="preserve"> </w:t>
      </w:r>
      <w:r w:rsidR="00F26AD6" w:rsidRPr="00283283">
        <w:rPr>
          <w:rFonts w:ascii="Arial" w:hAnsi="Arial" w:cs="Arial"/>
          <w:b/>
        </w:rPr>
        <w:t>Policy Review</w:t>
      </w:r>
    </w:p>
    <w:p w14:paraId="0F2FF31D" w14:textId="77777777" w:rsidR="00F26AD6" w:rsidRPr="00283283" w:rsidRDefault="00F26AD6" w:rsidP="00F26AD6">
      <w:pPr>
        <w:tabs>
          <w:tab w:val="left" w:pos="880"/>
        </w:tabs>
        <w:spacing w:line="360" w:lineRule="auto"/>
        <w:ind w:right="57"/>
        <w:rPr>
          <w:rFonts w:ascii="Arial" w:hAnsi="Arial" w:cs="Arial"/>
        </w:rPr>
      </w:pPr>
    </w:p>
    <w:p w14:paraId="3D8E56D5" w14:textId="77777777" w:rsidR="00F26AD6" w:rsidRDefault="00430212" w:rsidP="006372CB">
      <w:pPr>
        <w:spacing w:line="360" w:lineRule="auto"/>
        <w:ind w:left="720" w:hanging="720"/>
        <w:rPr>
          <w:rStyle w:val="Hyperlink"/>
          <w:rFonts w:ascii="Arial" w:hAnsi="Arial" w:cs="Arial"/>
        </w:rPr>
      </w:pPr>
      <w:r>
        <w:rPr>
          <w:rFonts w:ascii="Arial" w:hAnsi="Arial" w:cs="Arial"/>
        </w:rPr>
        <w:t>10</w:t>
      </w:r>
      <w:r w:rsidR="00F26AD6" w:rsidRPr="00283283">
        <w:rPr>
          <w:rFonts w:ascii="Arial" w:hAnsi="Arial" w:cs="Arial"/>
        </w:rPr>
        <w:t>.1</w:t>
      </w:r>
      <w:r w:rsidR="00F26AD6" w:rsidRPr="00283283">
        <w:rPr>
          <w:rFonts w:ascii="Arial" w:hAnsi="Arial" w:cs="Arial"/>
        </w:rPr>
        <w:tab/>
        <w:t xml:space="preserve">This policy and procedure will be reviewed </w:t>
      </w:r>
      <w:r w:rsidR="00F26AD6">
        <w:rPr>
          <w:rFonts w:ascii="Arial" w:hAnsi="Arial" w:cs="Arial"/>
        </w:rPr>
        <w:t xml:space="preserve">regularly in accordance with the guidelines provided by the Office of the Information Commissioner. </w:t>
      </w:r>
    </w:p>
    <w:p w14:paraId="18A610AC" w14:textId="77777777" w:rsidR="00B742C6" w:rsidRDefault="00B742C6" w:rsidP="00680F93">
      <w:pPr>
        <w:spacing w:line="360" w:lineRule="auto"/>
        <w:ind w:left="1134"/>
        <w:rPr>
          <w:rStyle w:val="Hyperlink"/>
          <w:rFonts w:ascii="Arial" w:hAnsi="Arial" w:cs="Arial"/>
        </w:rPr>
      </w:pPr>
    </w:p>
    <w:p w14:paraId="35DA45D7" w14:textId="77777777" w:rsidR="00B742C6" w:rsidRPr="00680F93" w:rsidRDefault="00B742C6" w:rsidP="00B742C6">
      <w:pPr>
        <w:spacing w:line="360" w:lineRule="auto"/>
        <w:rPr>
          <w:rFonts w:ascii="Arial" w:hAnsi="Arial" w:cs="Arial"/>
        </w:rPr>
      </w:pPr>
    </w:p>
    <w:p w14:paraId="11B61B28" w14:textId="77777777" w:rsidR="00B742C6" w:rsidRPr="00680F93" w:rsidRDefault="00B742C6" w:rsidP="00680F93">
      <w:pPr>
        <w:spacing w:line="360" w:lineRule="auto"/>
        <w:ind w:left="1134"/>
        <w:rPr>
          <w:rFonts w:ascii="Arial" w:hAnsi="Arial" w:cs="Arial"/>
        </w:rPr>
      </w:pPr>
    </w:p>
    <w:p w14:paraId="123C7D0A" w14:textId="77777777" w:rsidR="00B52C38" w:rsidRPr="00680F93" w:rsidRDefault="00B52C38" w:rsidP="00680F93">
      <w:pPr>
        <w:spacing w:line="360" w:lineRule="auto"/>
        <w:rPr>
          <w:rFonts w:ascii="Arial" w:hAnsi="Arial" w:cs="Arial"/>
          <w:b/>
        </w:rPr>
      </w:pPr>
      <w:r w:rsidRPr="00680F93">
        <w:rPr>
          <w:rFonts w:ascii="Arial" w:hAnsi="Arial" w:cs="Arial"/>
          <w:b/>
        </w:rPr>
        <w:br w:type="page"/>
      </w:r>
    </w:p>
    <w:p w14:paraId="3595A241" w14:textId="77777777" w:rsidR="00B52C38" w:rsidRPr="003C6D6C" w:rsidRDefault="00680F93" w:rsidP="00B52C38">
      <w:pPr>
        <w:jc w:val="right"/>
        <w:rPr>
          <w:rFonts w:ascii="Arial" w:hAnsi="Arial" w:cs="Arial"/>
          <w:b/>
          <w:color w:val="002D5B"/>
        </w:rPr>
      </w:pPr>
      <w:r w:rsidRPr="003C6D6C">
        <w:rPr>
          <w:rFonts w:ascii="Arial" w:hAnsi="Arial" w:cs="Arial"/>
          <w:b/>
          <w:color w:val="002D5B"/>
        </w:rPr>
        <w:lastRenderedPageBreak/>
        <w:t>Annex</w:t>
      </w:r>
      <w:r w:rsidR="00B52C38" w:rsidRPr="003C6D6C">
        <w:rPr>
          <w:rFonts w:ascii="Arial" w:hAnsi="Arial" w:cs="Arial"/>
          <w:b/>
          <w:color w:val="002D5B"/>
        </w:rPr>
        <w:t xml:space="preserve"> 1</w:t>
      </w:r>
    </w:p>
    <w:p w14:paraId="6F66FA5F" w14:textId="77777777" w:rsidR="00CD0C64" w:rsidRPr="003C6D6C" w:rsidRDefault="00CD0C64" w:rsidP="00B52C38">
      <w:pPr>
        <w:jc w:val="center"/>
        <w:rPr>
          <w:rFonts w:ascii="Arial" w:hAnsi="Arial" w:cs="Arial"/>
          <w:b/>
          <w:color w:val="BD5B15"/>
          <w:sz w:val="36"/>
          <w:szCs w:val="36"/>
        </w:rPr>
      </w:pPr>
    </w:p>
    <w:p w14:paraId="487E653D" w14:textId="79302B7C" w:rsidR="00B52C38" w:rsidRPr="003C6D6C" w:rsidRDefault="00B52C38" w:rsidP="00B52C38">
      <w:pPr>
        <w:jc w:val="center"/>
        <w:rPr>
          <w:rFonts w:ascii="Arial" w:hAnsi="Arial" w:cs="Arial"/>
          <w:b/>
          <w:color w:val="BD5B15"/>
          <w:sz w:val="36"/>
          <w:szCs w:val="36"/>
        </w:rPr>
      </w:pPr>
      <w:r w:rsidRPr="003C6D6C">
        <w:rPr>
          <w:rFonts w:ascii="Arial" w:hAnsi="Arial" w:cs="Arial"/>
          <w:b/>
          <w:color w:val="BD5B15"/>
          <w:sz w:val="36"/>
          <w:szCs w:val="36"/>
        </w:rPr>
        <w:t xml:space="preserve">NIJAC Publication Scheme </w:t>
      </w:r>
      <w:r w:rsidR="00CD0C64" w:rsidRPr="003C6D6C">
        <w:rPr>
          <w:rFonts w:ascii="Arial" w:hAnsi="Arial" w:cs="Arial"/>
          <w:b/>
          <w:color w:val="BD5B15"/>
          <w:sz w:val="36"/>
          <w:szCs w:val="36"/>
        </w:rPr>
        <w:t>I</w:t>
      </w:r>
      <w:r w:rsidRPr="003C6D6C">
        <w:rPr>
          <w:rFonts w:ascii="Arial" w:hAnsi="Arial" w:cs="Arial"/>
          <w:b/>
          <w:color w:val="BD5B15"/>
          <w:sz w:val="36"/>
          <w:szCs w:val="36"/>
        </w:rPr>
        <w:t>nformation</w:t>
      </w:r>
    </w:p>
    <w:p w14:paraId="33FEB5E5" w14:textId="77777777" w:rsidR="00B32EF2" w:rsidRDefault="00B32EF2" w:rsidP="00B52C38">
      <w:pPr>
        <w:jc w:val="center"/>
        <w:rPr>
          <w:rFonts w:ascii="Arial" w:hAnsi="Arial" w:cs="Arial"/>
        </w:rPr>
      </w:pPr>
    </w:p>
    <w:p w14:paraId="4D94D8C6" w14:textId="77777777" w:rsidR="00B52C38" w:rsidRDefault="009A3DA2" w:rsidP="00B52C38">
      <w:pPr>
        <w:jc w:val="center"/>
        <w:rPr>
          <w:rFonts w:ascii="Arial" w:hAnsi="Arial" w:cs="Arial"/>
        </w:rPr>
      </w:pPr>
      <w:r w:rsidRPr="009A3DA2">
        <w:rPr>
          <w:rFonts w:ascii="Arial" w:hAnsi="Arial" w:cs="Arial"/>
        </w:rPr>
        <w:t>In the event that any class of information cannot be found on our website as directed you should write to NIJAC asking for the relevant information.</w:t>
      </w:r>
    </w:p>
    <w:p w14:paraId="624D01D0" w14:textId="77777777" w:rsidR="00B32EF2" w:rsidRPr="009A3DA2" w:rsidRDefault="00B32EF2" w:rsidP="00B52C38">
      <w:pPr>
        <w:jc w:val="center"/>
        <w:rPr>
          <w:rFonts w:ascii="Arial" w:hAnsi="Arial" w:cs="Arial"/>
        </w:rPr>
      </w:pPr>
    </w:p>
    <w:tbl>
      <w:tblPr>
        <w:tblW w:w="498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47"/>
        <w:gridCol w:w="2340"/>
        <w:gridCol w:w="3477"/>
      </w:tblGrid>
      <w:tr w:rsidR="00B52C38" w:rsidRPr="00837407" w14:paraId="54572D74" w14:textId="77777777" w:rsidTr="00204E88">
        <w:trPr>
          <w:trHeight w:val="707"/>
        </w:trPr>
        <w:tc>
          <w:tcPr>
            <w:tcW w:w="1480" w:type="pct"/>
            <w:shd w:val="clear" w:color="auto" w:fill="BDD6EE" w:themeFill="accent1" w:themeFillTint="66"/>
            <w:vAlign w:val="center"/>
          </w:tcPr>
          <w:p w14:paraId="3F4B7941" w14:textId="77777777" w:rsidR="00B52C38" w:rsidRPr="00AB0013" w:rsidRDefault="00B52C38" w:rsidP="00CF709A">
            <w:pPr>
              <w:jc w:val="center"/>
              <w:rPr>
                <w:rFonts w:ascii="Arial" w:hAnsi="Arial" w:cs="Arial"/>
                <w:b/>
                <w:color w:val="000000"/>
                <w:sz w:val="28"/>
                <w:szCs w:val="28"/>
              </w:rPr>
            </w:pPr>
            <w:r w:rsidRPr="00AB0013">
              <w:rPr>
                <w:rFonts w:ascii="Arial" w:hAnsi="Arial" w:cs="Arial"/>
                <w:b/>
                <w:color w:val="000000"/>
                <w:sz w:val="28"/>
                <w:szCs w:val="28"/>
              </w:rPr>
              <w:t>Class of Information</w:t>
            </w:r>
          </w:p>
        </w:tc>
        <w:tc>
          <w:tcPr>
            <w:tcW w:w="1416" w:type="pct"/>
            <w:shd w:val="clear" w:color="auto" w:fill="BDD6EE" w:themeFill="accent1" w:themeFillTint="66"/>
            <w:vAlign w:val="center"/>
          </w:tcPr>
          <w:p w14:paraId="4D7793A5" w14:textId="77777777" w:rsidR="00B52C38" w:rsidRPr="00AB0013" w:rsidRDefault="00B52C38" w:rsidP="00CF709A">
            <w:pPr>
              <w:jc w:val="center"/>
              <w:rPr>
                <w:rFonts w:ascii="Arial" w:hAnsi="Arial" w:cs="Arial"/>
                <w:b/>
                <w:color w:val="000000"/>
                <w:sz w:val="28"/>
                <w:szCs w:val="28"/>
              </w:rPr>
            </w:pPr>
            <w:r w:rsidRPr="00AB0013">
              <w:rPr>
                <w:rFonts w:ascii="Arial" w:hAnsi="Arial" w:cs="Arial"/>
                <w:b/>
                <w:color w:val="000000"/>
                <w:sz w:val="28"/>
                <w:szCs w:val="28"/>
              </w:rPr>
              <w:t>Description</w:t>
            </w:r>
          </w:p>
        </w:tc>
        <w:tc>
          <w:tcPr>
            <w:tcW w:w="2104" w:type="pct"/>
            <w:shd w:val="clear" w:color="auto" w:fill="BDD6EE" w:themeFill="accent1" w:themeFillTint="66"/>
            <w:vAlign w:val="center"/>
          </w:tcPr>
          <w:p w14:paraId="7F680365" w14:textId="77777777" w:rsidR="00B52C38" w:rsidRPr="00AB0013" w:rsidRDefault="00B52C38" w:rsidP="00CF709A">
            <w:pPr>
              <w:jc w:val="center"/>
              <w:rPr>
                <w:rFonts w:ascii="Arial" w:hAnsi="Arial" w:cs="Arial"/>
                <w:b/>
                <w:color w:val="000000"/>
                <w:sz w:val="28"/>
                <w:szCs w:val="28"/>
              </w:rPr>
            </w:pPr>
            <w:r w:rsidRPr="00AB0013">
              <w:rPr>
                <w:rFonts w:ascii="Arial" w:hAnsi="Arial" w:cs="Arial"/>
                <w:b/>
                <w:color w:val="000000"/>
                <w:sz w:val="28"/>
                <w:szCs w:val="28"/>
              </w:rPr>
              <w:t>Available from</w:t>
            </w:r>
          </w:p>
        </w:tc>
      </w:tr>
      <w:tr w:rsidR="00B52C38" w:rsidRPr="00837407" w14:paraId="71F65E9A" w14:textId="77777777" w:rsidTr="00204E88">
        <w:trPr>
          <w:trHeight w:val="915"/>
        </w:trPr>
        <w:tc>
          <w:tcPr>
            <w:tcW w:w="1480" w:type="pct"/>
            <w:vMerge w:val="restart"/>
            <w:vAlign w:val="center"/>
          </w:tcPr>
          <w:p w14:paraId="2F77AD68" w14:textId="77777777" w:rsidR="00B52C38" w:rsidRPr="00837407" w:rsidRDefault="00B52C38" w:rsidP="00B52C38">
            <w:pPr>
              <w:jc w:val="center"/>
              <w:rPr>
                <w:rFonts w:ascii="Arial" w:hAnsi="Arial" w:cs="Arial"/>
                <w:color w:val="000000"/>
              </w:rPr>
            </w:pPr>
            <w:r w:rsidRPr="00902CDC">
              <w:rPr>
                <w:rFonts w:ascii="Arial" w:hAnsi="Arial" w:cs="Arial"/>
                <w:b/>
                <w:color w:val="000000"/>
                <w:sz w:val="28"/>
                <w:szCs w:val="28"/>
              </w:rPr>
              <w:t>Who we are and what we do</w:t>
            </w:r>
          </w:p>
        </w:tc>
        <w:tc>
          <w:tcPr>
            <w:tcW w:w="1416" w:type="pct"/>
            <w:vAlign w:val="center"/>
          </w:tcPr>
          <w:p w14:paraId="1D4448B3" w14:textId="77777777" w:rsidR="00B52C38" w:rsidRPr="00837407" w:rsidRDefault="00B52C38" w:rsidP="00B32EF2">
            <w:pPr>
              <w:rPr>
                <w:rFonts w:ascii="Arial" w:hAnsi="Arial" w:cs="Arial"/>
                <w:color w:val="000000"/>
              </w:rPr>
            </w:pPr>
            <w:r>
              <w:rPr>
                <w:rFonts w:ascii="Arial" w:hAnsi="Arial" w:cs="Arial"/>
                <w:color w:val="000000"/>
              </w:rPr>
              <w:t>Roles and Responsibilities</w:t>
            </w:r>
          </w:p>
        </w:tc>
        <w:tc>
          <w:tcPr>
            <w:tcW w:w="2104" w:type="pct"/>
            <w:vAlign w:val="center"/>
          </w:tcPr>
          <w:p w14:paraId="5FA5AD4D" w14:textId="77777777" w:rsidR="00B52C38" w:rsidRPr="00837407" w:rsidRDefault="00B52C38" w:rsidP="00CC29EF">
            <w:pPr>
              <w:jc w:val="center"/>
              <w:rPr>
                <w:rFonts w:ascii="Arial" w:hAnsi="Arial" w:cs="Arial"/>
                <w:i/>
                <w:color w:val="FF0000"/>
              </w:rPr>
            </w:pPr>
            <w:r>
              <w:rPr>
                <w:rFonts w:ascii="Arial" w:hAnsi="Arial" w:cs="Arial"/>
                <w:color w:val="000000"/>
              </w:rPr>
              <w:t xml:space="preserve">Available at </w:t>
            </w:r>
            <w:hyperlink r:id="rId14" w:history="1">
              <w:r w:rsidRPr="00026C75">
                <w:rPr>
                  <w:rStyle w:val="Hyperlink"/>
                  <w:rFonts w:ascii="Arial" w:hAnsi="Arial" w:cs="Arial"/>
                </w:rPr>
                <w:t>www.nijac.gov.uk</w:t>
              </w:r>
            </w:hyperlink>
            <w:r>
              <w:rPr>
                <w:rFonts w:ascii="Arial" w:hAnsi="Arial" w:cs="Arial"/>
                <w:color w:val="000000"/>
              </w:rPr>
              <w:t xml:space="preserve"> under ‘</w:t>
            </w:r>
            <w:r w:rsidR="00CC29EF">
              <w:rPr>
                <w:rFonts w:ascii="Arial" w:hAnsi="Arial" w:cs="Arial"/>
                <w:color w:val="000000"/>
              </w:rPr>
              <w:t>About NIJAC</w:t>
            </w:r>
            <w:r>
              <w:rPr>
                <w:rFonts w:ascii="Arial" w:hAnsi="Arial" w:cs="Arial"/>
                <w:color w:val="000000"/>
              </w:rPr>
              <w:t>’ and in Annual Report &amp; Accounts</w:t>
            </w:r>
            <w:r w:rsidR="007C27CC">
              <w:rPr>
                <w:rFonts w:ascii="Arial" w:hAnsi="Arial" w:cs="Arial"/>
                <w:color w:val="000000"/>
              </w:rPr>
              <w:t>.</w:t>
            </w:r>
          </w:p>
        </w:tc>
      </w:tr>
      <w:tr w:rsidR="00B52C38" w:rsidRPr="00837407" w14:paraId="5A7579D1" w14:textId="77777777" w:rsidTr="00204E88">
        <w:trPr>
          <w:trHeight w:val="1099"/>
        </w:trPr>
        <w:tc>
          <w:tcPr>
            <w:tcW w:w="1480" w:type="pct"/>
            <w:vMerge/>
          </w:tcPr>
          <w:p w14:paraId="13982EE9" w14:textId="77777777" w:rsidR="00B52C38" w:rsidRPr="00837407" w:rsidRDefault="00B52C38" w:rsidP="00B52C38">
            <w:pPr>
              <w:rPr>
                <w:rFonts w:ascii="Arial" w:hAnsi="Arial" w:cs="Arial"/>
                <w:color w:val="000000"/>
              </w:rPr>
            </w:pPr>
          </w:p>
        </w:tc>
        <w:tc>
          <w:tcPr>
            <w:tcW w:w="1416" w:type="pct"/>
            <w:vAlign w:val="center"/>
          </w:tcPr>
          <w:p w14:paraId="504C68F3" w14:textId="77777777" w:rsidR="00B52C38" w:rsidRPr="00837407" w:rsidRDefault="00B52C38" w:rsidP="00B32EF2">
            <w:pPr>
              <w:rPr>
                <w:rFonts w:ascii="Arial" w:hAnsi="Arial" w:cs="Arial"/>
                <w:color w:val="000000"/>
              </w:rPr>
            </w:pPr>
            <w:r>
              <w:rPr>
                <w:rFonts w:ascii="Arial" w:hAnsi="Arial" w:cs="Arial"/>
                <w:color w:val="000000"/>
              </w:rPr>
              <w:t>Organisational Structure</w:t>
            </w:r>
          </w:p>
        </w:tc>
        <w:tc>
          <w:tcPr>
            <w:tcW w:w="2104" w:type="pct"/>
            <w:vAlign w:val="center"/>
          </w:tcPr>
          <w:p w14:paraId="1E6316FC" w14:textId="77777777" w:rsidR="00B52C38" w:rsidRPr="00837407" w:rsidRDefault="00B52C38" w:rsidP="009A3DA2">
            <w:pPr>
              <w:jc w:val="center"/>
              <w:rPr>
                <w:rFonts w:ascii="Arial" w:hAnsi="Arial" w:cs="Arial"/>
                <w:i/>
                <w:color w:val="FF0000"/>
              </w:rPr>
            </w:pPr>
            <w:r>
              <w:rPr>
                <w:rFonts w:ascii="Arial" w:hAnsi="Arial" w:cs="Arial"/>
                <w:color w:val="000000"/>
              </w:rPr>
              <w:t xml:space="preserve">Available at </w:t>
            </w:r>
            <w:hyperlink r:id="rId15" w:history="1">
              <w:r w:rsidRPr="00026C75">
                <w:rPr>
                  <w:rStyle w:val="Hyperlink"/>
                  <w:rFonts w:ascii="Arial" w:hAnsi="Arial" w:cs="Arial"/>
                </w:rPr>
                <w:t>www.nijac.gov.uk</w:t>
              </w:r>
            </w:hyperlink>
            <w:r>
              <w:rPr>
                <w:rFonts w:ascii="Arial" w:hAnsi="Arial" w:cs="Arial"/>
                <w:color w:val="000000"/>
              </w:rPr>
              <w:t xml:space="preserve"> under ‘Publications’ in our Annual Report &amp; Accounts and in our Corporate Plan</w:t>
            </w:r>
            <w:r w:rsidR="007C27CC">
              <w:rPr>
                <w:rFonts w:ascii="Arial" w:hAnsi="Arial" w:cs="Arial"/>
                <w:color w:val="000000"/>
              </w:rPr>
              <w:t>.</w:t>
            </w:r>
          </w:p>
        </w:tc>
      </w:tr>
      <w:tr w:rsidR="00B52C38" w:rsidRPr="00837407" w14:paraId="18441A37" w14:textId="77777777" w:rsidTr="00C137EC">
        <w:trPr>
          <w:trHeight w:val="1535"/>
        </w:trPr>
        <w:tc>
          <w:tcPr>
            <w:tcW w:w="1480" w:type="pct"/>
            <w:vMerge/>
          </w:tcPr>
          <w:p w14:paraId="67CF3093" w14:textId="77777777" w:rsidR="00B52C38" w:rsidRPr="00837407" w:rsidRDefault="00B52C38" w:rsidP="00B52C38">
            <w:pPr>
              <w:rPr>
                <w:rFonts w:ascii="Arial" w:hAnsi="Arial" w:cs="Arial"/>
                <w:color w:val="000000"/>
              </w:rPr>
            </w:pPr>
          </w:p>
        </w:tc>
        <w:tc>
          <w:tcPr>
            <w:tcW w:w="1416" w:type="pct"/>
            <w:vAlign w:val="center"/>
          </w:tcPr>
          <w:p w14:paraId="12875597" w14:textId="77777777" w:rsidR="00B52C38" w:rsidRPr="00837407" w:rsidRDefault="00B52C38" w:rsidP="00B32EF2">
            <w:pPr>
              <w:rPr>
                <w:rFonts w:ascii="Arial" w:hAnsi="Arial" w:cs="Arial"/>
                <w:color w:val="000000"/>
              </w:rPr>
            </w:pPr>
            <w:r>
              <w:rPr>
                <w:rFonts w:ascii="Arial" w:hAnsi="Arial" w:cs="Arial"/>
                <w:color w:val="000000"/>
              </w:rPr>
              <w:t>Information relating to the legislation relating to the organisations functions</w:t>
            </w:r>
          </w:p>
        </w:tc>
        <w:tc>
          <w:tcPr>
            <w:tcW w:w="2104" w:type="pct"/>
            <w:vAlign w:val="center"/>
          </w:tcPr>
          <w:p w14:paraId="6CEB41B1" w14:textId="77777777" w:rsidR="00B52C38" w:rsidRPr="00837407" w:rsidRDefault="00B52C38" w:rsidP="009A3DA2">
            <w:pPr>
              <w:jc w:val="center"/>
              <w:rPr>
                <w:rFonts w:ascii="Arial" w:hAnsi="Arial" w:cs="Arial"/>
                <w:i/>
                <w:color w:val="FF0000"/>
              </w:rPr>
            </w:pPr>
            <w:r>
              <w:rPr>
                <w:rFonts w:ascii="Arial" w:hAnsi="Arial" w:cs="Arial"/>
                <w:color w:val="000000"/>
              </w:rPr>
              <w:t xml:space="preserve">Available at </w:t>
            </w:r>
            <w:hyperlink r:id="rId16" w:history="1">
              <w:r w:rsidRPr="00026C75">
                <w:rPr>
                  <w:rStyle w:val="Hyperlink"/>
                  <w:rFonts w:ascii="Arial" w:hAnsi="Arial" w:cs="Arial"/>
                </w:rPr>
                <w:t>www.nijac.gov.uk</w:t>
              </w:r>
            </w:hyperlink>
            <w:r>
              <w:rPr>
                <w:rFonts w:ascii="Arial" w:hAnsi="Arial" w:cs="Arial"/>
                <w:color w:val="000000"/>
              </w:rPr>
              <w:t xml:space="preserve"> under ‘Publications’ in our Corporate Plan</w:t>
            </w:r>
            <w:r w:rsidR="007C27CC">
              <w:rPr>
                <w:rFonts w:ascii="Arial" w:hAnsi="Arial" w:cs="Arial"/>
                <w:color w:val="000000"/>
              </w:rPr>
              <w:t>.</w:t>
            </w:r>
          </w:p>
        </w:tc>
      </w:tr>
      <w:tr w:rsidR="00B52C38" w:rsidRPr="00837407" w14:paraId="70423075" w14:textId="77777777" w:rsidTr="00D52570">
        <w:trPr>
          <w:trHeight w:val="2122"/>
        </w:trPr>
        <w:tc>
          <w:tcPr>
            <w:tcW w:w="1480" w:type="pct"/>
            <w:vMerge/>
          </w:tcPr>
          <w:p w14:paraId="07AE6DA6" w14:textId="77777777" w:rsidR="00B52C38" w:rsidRPr="00837407" w:rsidRDefault="00B52C38" w:rsidP="00B52C38">
            <w:pPr>
              <w:rPr>
                <w:rFonts w:ascii="Arial" w:hAnsi="Arial" w:cs="Arial"/>
                <w:color w:val="000000"/>
              </w:rPr>
            </w:pPr>
          </w:p>
        </w:tc>
        <w:tc>
          <w:tcPr>
            <w:tcW w:w="1416" w:type="pct"/>
            <w:vAlign w:val="center"/>
          </w:tcPr>
          <w:p w14:paraId="49B13F96" w14:textId="77777777" w:rsidR="00D52570" w:rsidRPr="00B32EF2" w:rsidRDefault="00B52C38" w:rsidP="00B32EF2">
            <w:pPr>
              <w:rPr>
                <w:rFonts w:ascii="Arial" w:hAnsi="Arial" w:cs="Arial"/>
                <w:b/>
                <w:color w:val="000000"/>
              </w:rPr>
            </w:pPr>
            <w:r w:rsidRPr="00B32EF2">
              <w:rPr>
                <w:rFonts w:ascii="Arial" w:hAnsi="Arial" w:cs="Arial"/>
                <w:b/>
                <w:color w:val="000000"/>
              </w:rPr>
              <w:t>Lists of and information relating to organisations with which the NDPB works in partnership</w:t>
            </w:r>
          </w:p>
        </w:tc>
        <w:tc>
          <w:tcPr>
            <w:tcW w:w="2104" w:type="pct"/>
            <w:vAlign w:val="center"/>
          </w:tcPr>
          <w:p w14:paraId="2FE145DE" w14:textId="77777777" w:rsidR="00B52C38" w:rsidRPr="00837407" w:rsidRDefault="00B52C38" w:rsidP="009A3DA2">
            <w:pPr>
              <w:jc w:val="center"/>
              <w:rPr>
                <w:rFonts w:ascii="Arial" w:hAnsi="Arial" w:cs="Arial"/>
                <w:color w:val="000000"/>
              </w:rPr>
            </w:pPr>
            <w:r>
              <w:rPr>
                <w:rFonts w:ascii="Arial" w:hAnsi="Arial" w:cs="Arial"/>
                <w:color w:val="000000"/>
              </w:rPr>
              <w:t xml:space="preserve">Available at </w:t>
            </w:r>
            <w:hyperlink r:id="rId17" w:history="1">
              <w:r w:rsidRPr="00026C75">
                <w:rPr>
                  <w:rStyle w:val="Hyperlink"/>
                  <w:rFonts w:ascii="Arial" w:hAnsi="Arial" w:cs="Arial"/>
                </w:rPr>
                <w:t>www.nijac.gov.uk</w:t>
              </w:r>
            </w:hyperlink>
            <w:r>
              <w:rPr>
                <w:rFonts w:ascii="Arial" w:hAnsi="Arial" w:cs="Arial"/>
                <w:color w:val="000000"/>
              </w:rPr>
              <w:t xml:space="preserve"> under ‘Publications’ in our Annual Report &amp; Accounts</w:t>
            </w:r>
            <w:r w:rsidR="007C27CC">
              <w:rPr>
                <w:rFonts w:ascii="Arial" w:hAnsi="Arial" w:cs="Arial"/>
                <w:color w:val="000000"/>
              </w:rPr>
              <w:t>.</w:t>
            </w:r>
          </w:p>
        </w:tc>
      </w:tr>
      <w:tr w:rsidR="00B52C38" w:rsidRPr="00837407" w14:paraId="1209B870" w14:textId="77777777" w:rsidTr="00D52570">
        <w:trPr>
          <w:trHeight w:val="3782"/>
        </w:trPr>
        <w:tc>
          <w:tcPr>
            <w:tcW w:w="1480" w:type="pct"/>
            <w:vMerge/>
          </w:tcPr>
          <w:p w14:paraId="3649FE67" w14:textId="77777777" w:rsidR="00B52C38" w:rsidRPr="00837407" w:rsidRDefault="00B52C38" w:rsidP="00B52C38">
            <w:pPr>
              <w:rPr>
                <w:rFonts w:ascii="Arial" w:hAnsi="Arial" w:cs="Arial"/>
                <w:color w:val="000000"/>
              </w:rPr>
            </w:pPr>
          </w:p>
        </w:tc>
        <w:tc>
          <w:tcPr>
            <w:tcW w:w="1416" w:type="pct"/>
            <w:vAlign w:val="center"/>
          </w:tcPr>
          <w:p w14:paraId="4FB17FAC" w14:textId="77777777" w:rsidR="00D52570" w:rsidRPr="00B32EF2" w:rsidRDefault="00B52C38" w:rsidP="00D52570">
            <w:pPr>
              <w:rPr>
                <w:rFonts w:ascii="Arial" w:hAnsi="Arial" w:cs="Arial"/>
                <w:b/>
                <w:color w:val="000000"/>
              </w:rPr>
            </w:pPr>
            <w:r w:rsidRPr="00B32EF2">
              <w:rPr>
                <w:rFonts w:ascii="Arial" w:hAnsi="Arial" w:cs="Arial"/>
                <w:b/>
                <w:color w:val="000000"/>
              </w:rPr>
              <w:t xml:space="preserve">Meetings of Chief Executive or Board Members with Ministers and external organisations </w:t>
            </w:r>
            <w:r w:rsidR="006372CB">
              <w:rPr>
                <w:rFonts w:ascii="Arial" w:hAnsi="Arial" w:cs="Arial"/>
                <w:b/>
                <w:color w:val="000000"/>
              </w:rPr>
              <w:t xml:space="preserve">on NIJAC business </w:t>
            </w:r>
            <w:r w:rsidRPr="00B32EF2">
              <w:rPr>
                <w:rFonts w:ascii="Arial" w:hAnsi="Arial" w:cs="Arial"/>
                <w:b/>
                <w:color w:val="000000"/>
              </w:rPr>
              <w:t>(including meetings with newspaper and other media proprietors, editors and senior executives)</w:t>
            </w:r>
          </w:p>
        </w:tc>
        <w:tc>
          <w:tcPr>
            <w:tcW w:w="2104" w:type="pct"/>
            <w:vAlign w:val="center"/>
          </w:tcPr>
          <w:p w14:paraId="677BC38C" w14:textId="77777777" w:rsidR="00B52C38" w:rsidRPr="00837407" w:rsidRDefault="00B52C38" w:rsidP="009A3DA2">
            <w:pPr>
              <w:jc w:val="center"/>
              <w:rPr>
                <w:rFonts w:ascii="Arial" w:hAnsi="Arial" w:cs="Arial"/>
                <w:i/>
                <w:color w:val="FF0000"/>
              </w:rPr>
            </w:pPr>
            <w:r>
              <w:rPr>
                <w:rFonts w:ascii="Arial" w:hAnsi="Arial" w:cs="Arial"/>
                <w:color w:val="000000"/>
              </w:rPr>
              <w:t xml:space="preserve">Available at </w:t>
            </w:r>
            <w:hyperlink r:id="rId18" w:history="1">
              <w:r w:rsidRPr="00026C75">
                <w:rPr>
                  <w:rStyle w:val="Hyperlink"/>
                  <w:rFonts w:ascii="Arial" w:hAnsi="Arial" w:cs="Arial"/>
                </w:rPr>
                <w:t>www.nijac.gov.uk</w:t>
              </w:r>
            </w:hyperlink>
            <w:r>
              <w:rPr>
                <w:rFonts w:ascii="Arial" w:hAnsi="Arial" w:cs="Arial"/>
                <w:color w:val="000000"/>
              </w:rPr>
              <w:t xml:space="preserve"> under ‘Publications’ in our Annual Report &amp; Accounts</w:t>
            </w:r>
            <w:r w:rsidR="007C27CC">
              <w:rPr>
                <w:rFonts w:ascii="Arial" w:hAnsi="Arial" w:cs="Arial"/>
                <w:color w:val="000000"/>
              </w:rPr>
              <w:t>.</w:t>
            </w:r>
          </w:p>
        </w:tc>
      </w:tr>
      <w:tr w:rsidR="00D52570" w:rsidRPr="00837407" w14:paraId="3CFD85B7" w14:textId="77777777" w:rsidTr="00C137EC">
        <w:trPr>
          <w:trHeight w:val="960"/>
        </w:trPr>
        <w:tc>
          <w:tcPr>
            <w:tcW w:w="1480" w:type="pct"/>
            <w:vMerge/>
          </w:tcPr>
          <w:p w14:paraId="19F56DB7" w14:textId="77777777" w:rsidR="00D52570" w:rsidRPr="00837407" w:rsidRDefault="00D52570" w:rsidP="00B52C38">
            <w:pPr>
              <w:rPr>
                <w:rFonts w:ascii="Arial" w:hAnsi="Arial" w:cs="Arial"/>
                <w:color w:val="000000"/>
              </w:rPr>
            </w:pPr>
          </w:p>
        </w:tc>
        <w:tc>
          <w:tcPr>
            <w:tcW w:w="1416" w:type="pct"/>
            <w:vAlign w:val="center"/>
          </w:tcPr>
          <w:p w14:paraId="777ED4D4" w14:textId="77777777" w:rsidR="00D52570" w:rsidRPr="00837407" w:rsidRDefault="00D52570" w:rsidP="00B32EF2">
            <w:pPr>
              <w:rPr>
                <w:rFonts w:ascii="Arial" w:hAnsi="Arial" w:cs="Arial"/>
                <w:color w:val="000000"/>
              </w:rPr>
            </w:pPr>
            <w:r>
              <w:rPr>
                <w:rFonts w:ascii="Arial" w:hAnsi="Arial" w:cs="Arial"/>
                <w:color w:val="000000"/>
              </w:rPr>
              <w:t>The location of and contact details for the organisation</w:t>
            </w:r>
          </w:p>
        </w:tc>
        <w:tc>
          <w:tcPr>
            <w:tcW w:w="2104" w:type="pct"/>
            <w:vAlign w:val="center"/>
          </w:tcPr>
          <w:p w14:paraId="57B7B091" w14:textId="77777777" w:rsidR="00D52570" w:rsidRPr="00837407" w:rsidRDefault="00D52570" w:rsidP="00D52570">
            <w:pPr>
              <w:jc w:val="center"/>
              <w:rPr>
                <w:rFonts w:ascii="Arial" w:hAnsi="Arial" w:cs="Arial"/>
                <w:i/>
                <w:color w:val="FF0000"/>
              </w:rPr>
            </w:pPr>
            <w:r>
              <w:rPr>
                <w:rFonts w:ascii="Arial" w:hAnsi="Arial" w:cs="Arial"/>
                <w:color w:val="000000"/>
              </w:rPr>
              <w:t xml:space="preserve">Available at </w:t>
            </w:r>
            <w:hyperlink r:id="rId19" w:history="1">
              <w:r w:rsidRPr="00026C75">
                <w:rPr>
                  <w:rStyle w:val="Hyperlink"/>
                  <w:rFonts w:ascii="Arial" w:hAnsi="Arial" w:cs="Arial"/>
                </w:rPr>
                <w:t>www.nijac.gov.uk</w:t>
              </w:r>
            </w:hyperlink>
            <w:r>
              <w:rPr>
                <w:rFonts w:ascii="Arial" w:hAnsi="Arial" w:cs="Arial"/>
                <w:color w:val="000000"/>
              </w:rPr>
              <w:t xml:space="preserve"> under ‘Contact Us’.</w:t>
            </w:r>
          </w:p>
        </w:tc>
      </w:tr>
    </w:tbl>
    <w:p w14:paraId="64FF8B8E" w14:textId="77777777" w:rsidR="005D187B" w:rsidRDefault="005D187B" w:rsidP="00B52C38"/>
    <w:p w14:paraId="3A99AAC4" w14:textId="77777777" w:rsidR="005D187B" w:rsidRDefault="005D187B">
      <w:r>
        <w:br w:type="page"/>
      </w:r>
    </w:p>
    <w:p w14:paraId="3438F56C" w14:textId="77777777" w:rsidR="00B52C38" w:rsidRDefault="00B52C38" w:rsidP="00B52C38"/>
    <w:tbl>
      <w:tblPr>
        <w:tblW w:w="498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84"/>
        <w:gridCol w:w="2203"/>
        <w:gridCol w:w="3477"/>
      </w:tblGrid>
      <w:tr w:rsidR="00B52C38" w:rsidRPr="00837407" w14:paraId="2D9B9701" w14:textId="77777777" w:rsidTr="00CF709A">
        <w:trPr>
          <w:trHeight w:val="443"/>
        </w:trPr>
        <w:tc>
          <w:tcPr>
            <w:tcW w:w="1563" w:type="pct"/>
            <w:shd w:val="clear" w:color="auto" w:fill="BDD6EE" w:themeFill="accent1" w:themeFillTint="66"/>
            <w:vAlign w:val="center"/>
          </w:tcPr>
          <w:p w14:paraId="082C105F" w14:textId="77777777" w:rsidR="00B52C38" w:rsidRPr="00902CDC" w:rsidRDefault="00B52C38" w:rsidP="00B52C38">
            <w:pPr>
              <w:jc w:val="center"/>
              <w:rPr>
                <w:rFonts w:ascii="Arial" w:hAnsi="Arial" w:cs="Arial"/>
                <w:b/>
                <w:color w:val="000000"/>
                <w:sz w:val="28"/>
                <w:szCs w:val="28"/>
              </w:rPr>
            </w:pPr>
            <w:r w:rsidRPr="00AB0013">
              <w:rPr>
                <w:rFonts w:ascii="Arial" w:hAnsi="Arial" w:cs="Arial"/>
                <w:b/>
                <w:color w:val="000000"/>
                <w:sz w:val="28"/>
                <w:szCs w:val="28"/>
              </w:rPr>
              <w:t>Class of Information</w:t>
            </w:r>
          </w:p>
        </w:tc>
        <w:tc>
          <w:tcPr>
            <w:tcW w:w="1333" w:type="pct"/>
            <w:shd w:val="clear" w:color="auto" w:fill="BDD6EE" w:themeFill="accent1" w:themeFillTint="66"/>
            <w:vAlign w:val="center"/>
          </w:tcPr>
          <w:p w14:paraId="1D7CC1B7" w14:textId="77777777" w:rsidR="00B52C38" w:rsidRDefault="00B52C38" w:rsidP="00B52C38">
            <w:pPr>
              <w:jc w:val="center"/>
              <w:rPr>
                <w:rFonts w:ascii="Arial" w:hAnsi="Arial" w:cs="Arial"/>
                <w:color w:val="000000"/>
              </w:rPr>
            </w:pPr>
            <w:r w:rsidRPr="00AB0013">
              <w:rPr>
                <w:rFonts w:ascii="Arial" w:hAnsi="Arial" w:cs="Arial"/>
                <w:b/>
                <w:color w:val="000000"/>
                <w:sz w:val="28"/>
                <w:szCs w:val="28"/>
              </w:rPr>
              <w:t>Description</w:t>
            </w:r>
          </w:p>
        </w:tc>
        <w:tc>
          <w:tcPr>
            <w:tcW w:w="2104" w:type="pct"/>
            <w:shd w:val="clear" w:color="auto" w:fill="BDD6EE" w:themeFill="accent1" w:themeFillTint="66"/>
            <w:vAlign w:val="center"/>
          </w:tcPr>
          <w:p w14:paraId="56203B9B" w14:textId="77777777" w:rsidR="00B52C38" w:rsidRDefault="00B52C38" w:rsidP="009A3DA2">
            <w:pPr>
              <w:jc w:val="center"/>
              <w:rPr>
                <w:rFonts w:ascii="Arial" w:hAnsi="Arial" w:cs="Arial"/>
                <w:color w:val="000000"/>
              </w:rPr>
            </w:pPr>
            <w:r w:rsidRPr="00AB0013">
              <w:rPr>
                <w:rFonts w:ascii="Arial" w:hAnsi="Arial" w:cs="Arial"/>
                <w:b/>
                <w:color w:val="000000"/>
                <w:sz w:val="28"/>
                <w:szCs w:val="28"/>
              </w:rPr>
              <w:t>Availab</w:t>
            </w:r>
            <w:r w:rsidR="009A3DA2">
              <w:rPr>
                <w:rFonts w:ascii="Arial" w:hAnsi="Arial" w:cs="Arial"/>
                <w:b/>
                <w:color w:val="000000"/>
                <w:sz w:val="28"/>
                <w:szCs w:val="28"/>
              </w:rPr>
              <w:t>ility</w:t>
            </w:r>
          </w:p>
        </w:tc>
      </w:tr>
      <w:tr w:rsidR="00B52C38" w:rsidRPr="00837407" w14:paraId="524D9B81" w14:textId="77777777" w:rsidTr="00C137EC">
        <w:trPr>
          <w:trHeight w:val="1369"/>
        </w:trPr>
        <w:tc>
          <w:tcPr>
            <w:tcW w:w="1563" w:type="pct"/>
            <w:vMerge w:val="restart"/>
            <w:vAlign w:val="center"/>
          </w:tcPr>
          <w:p w14:paraId="44FCD835" w14:textId="77777777" w:rsidR="00B52C38" w:rsidRPr="00837407" w:rsidRDefault="00B52C38" w:rsidP="00B52C38">
            <w:pPr>
              <w:jc w:val="center"/>
              <w:rPr>
                <w:rFonts w:ascii="Arial" w:hAnsi="Arial" w:cs="Arial"/>
                <w:color w:val="000000"/>
              </w:rPr>
            </w:pPr>
            <w:r w:rsidRPr="00902CDC">
              <w:rPr>
                <w:rFonts w:ascii="Arial" w:hAnsi="Arial" w:cs="Arial"/>
                <w:b/>
                <w:color w:val="000000"/>
                <w:sz w:val="28"/>
                <w:szCs w:val="28"/>
              </w:rPr>
              <w:t>What we spend and how we spend it</w:t>
            </w:r>
          </w:p>
        </w:tc>
        <w:tc>
          <w:tcPr>
            <w:tcW w:w="1333" w:type="pct"/>
            <w:vAlign w:val="center"/>
          </w:tcPr>
          <w:p w14:paraId="32FF30BD" w14:textId="77777777" w:rsidR="00B52C38" w:rsidRPr="00837407" w:rsidRDefault="00B52C38" w:rsidP="00B32EF2">
            <w:pPr>
              <w:rPr>
                <w:rFonts w:ascii="Arial" w:hAnsi="Arial" w:cs="Arial"/>
                <w:color w:val="000000"/>
              </w:rPr>
            </w:pPr>
            <w:r>
              <w:rPr>
                <w:rFonts w:ascii="Arial" w:hAnsi="Arial" w:cs="Arial"/>
                <w:color w:val="000000"/>
              </w:rPr>
              <w:t>Financial statements, budgets and variance reports</w:t>
            </w:r>
          </w:p>
        </w:tc>
        <w:tc>
          <w:tcPr>
            <w:tcW w:w="2104" w:type="pct"/>
            <w:vAlign w:val="center"/>
          </w:tcPr>
          <w:p w14:paraId="02FD8114" w14:textId="77777777" w:rsidR="00B52C38" w:rsidRPr="00837407" w:rsidRDefault="00B52C38" w:rsidP="009A3DA2">
            <w:pPr>
              <w:jc w:val="center"/>
              <w:rPr>
                <w:rFonts w:ascii="Arial" w:hAnsi="Arial" w:cs="Arial"/>
                <w:color w:val="000000"/>
              </w:rPr>
            </w:pPr>
            <w:r>
              <w:rPr>
                <w:rFonts w:ascii="Arial" w:hAnsi="Arial" w:cs="Arial"/>
                <w:color w:val="000000"/>
              </w:rPr>
              <w:t xml:space="preserve">Available at </w:t>
            </w:r>
            <w:hyperlink r:id="rId20" w:history="1">
              <w:r w:rsidRPr="00026C75">
                <w:rPr>
                  <w:rStyle w:val="Hyperlink"/>
                  <w:rFonts w:ascii="Arial" w:hAnsi="Arial" w:cs="Arial"/>
                </w:rPr>
                <w:t>www.nijac.gov.uk</w:t>
              </w:r>
            </w:hyperlink>
            <w:r>
              <w:rPr>
                <w:rFonts w:ascii="Arial" w:hAnsi="Arial" w:cs="Arial"/>
                <w:color w:val="000000"/>
              </w:rPr>
              <w:t xml:space="preserve"> under ‘Publications’ in our Annual Report &amp; Accounts</w:t>
            </w:r>
            <w:r w:rsidR="007C27CC">
              <w:rPr>
                <w:rFonts w:ascii="Arial" w:hAnsi="Arial" w:cs="Arial"/>
                <w:color w:val="000000"/>
              </w:rPr>
              <w:t>.</w:t>
            </w:r>
          </w:p>
        </w:tc>
      </w:tr>
      <w:tr w:rsidR="00B52C38" w:rsidRPr="00837407" w14:paraId="7C512C2D" w14:textId="77777777" w:rsidTr="00C137EC">
        <w:trPr>
          <w:trHeight w:val="804"/>
        </w:trPr>
        <w:tc>
          <w:tcPr>
            <w:tcW w:w="1563" w:type="pct"/>
            <w:vMerge/>
          </w:tcPr>
          <w:p w14:paraId="06538966" w14:textId="77777777" w:rsidR="00B52C38" w:rsidRPr="00837407" w:rsidRDefault="00B52C38" w:rsidP="00B52C38">
            <w:pPr>
              <w:rPr>
                <w:rFonts w:ascii="Arial" w:hAnsi="Arial" w:cs="Arial"/>
                <w:color w:val="000000"/>
              </w:rPr>
            </w:pPr>
          </w:p>
        </w:tc>
        <w:tc>
          <w:tcPr>
            <w:tcW w:w="1333" w:type="pct"/>
            <w:vAlign w:val="center"/>
          </w:tcPr>
          <w:p w14:paraId="4DCAB6E4" w14:textId="77777777" w:rsidR="00B52C38" w:rsidRPr="00B32EF2" w:rsidRDefault="00B52C38" w:rsidP="00B32EF2">
            <w:pPr>
              <w:rPr>
                <w:rFonts w:ascii="Arial" w:hAnsi="Arial" w:cs="Arial"/>
                <w:b/>
                <w:color w:val="000000"/>
              </w:rPr>
            </w:pPr>
            <w:r w:rsidRPr="00B32EF2">
              <w:rPr>
                <w:rFonts w:ascii="Arial" w:hAnsi="Arial" w:cs="Arial"/>
                <w:b/>
                <w:color w:val="000000"/>
              </w:rPr>
              <w:t>Capital programme</w:t>
            </w:r>
          </w:p>
        </w:tc>
        <w:tc>
          <w:tcPr>
            <w:tcW w:w="2104" w:type="pct"/>
            <w:vAlign w:val="center"/>
          </w:tcPr>
          <w:p w14:paraId="74D72271" w14:textId="77777777" w:rsidR="00B52C38" w:rsidRDefault="009A3DA2" w:rsidP="007C27CC">
            <w:pPr>
              <w:jc w:val="center"/>
              <w:rPr>
                <w:rFonts w:ascii="Arial" w:hAnsi="Arial" w:cs="Arial"/>
                <w:color w:val="000000"/>
              </w:rPr>
            </w:pPr>
            <w:r>
              <w:rPr>
                <w:rFonts w:ascii="Arial" w:hAnsi="Arial" w:cs="Arial"/>
                <w:color w:val="000000"/>
              </w:rPr>
              <w:t>Please write to NIJAC to request this information</w:t>
            </w:r>
            <w:r w:rsidR="007C27CC">
              <w:rPr>
                <w:rFonts w:ascii="Arial" w:hAnsi="Arial" w:cs="Arial"/>
                <w:color w:val="000000"/>
              </w:rPr>
              <w:t>.</w:t>
            </w:r>
            <w:r>
              <w:rPr>
                <w:rFonts w:ascii="Arial" w:hAnsi="Arial" w:cs="Arial"/>
                <w:color w:val="000000"/>
              </w:rPr>
              <w:t xml:space="preserve"> </w:t>
            </w:r>
          </w:p>
        </w:tc>
      </w:tr>
      <w:tr w:rsidR="00B52C38" w:rsidRPr="00837407" w14:paraId="199692B1" w14:textId="77777777" w:rsidTr="00B32EF2">
        <w:tc>
          <w:tcPr>
            <w:tcW w:w="1563" w:type="pct"/>
            <w:vMerge/>
          </w:tcPr>
          <w:p w14:paraId="5118C68A" w14:textId="77777777" w:rsidR="00B52C38" w:rsidRPr="00837407" w:rsidRDefault="00B52C38" w:rsidP="00B52C38">
            <w:pPr>
              <w:rPr>
                <w:rFonts w:ascii="Arial" w:hAnsi="Arial" w:cs="Arial"/>
                <w:color w:val="000000"/>
              </w:rPr>
            </w:pPr>
          </w:p>
        </w:tc>
        <w:tc>
          <w:tcPr>
            <w:tcW w:w="1333" w:type="pct"/>
            <w:vAlign w:val="center"/>
          </w:tcPr>
          <w:p w14:paraId="3E857047" w14:textId="77777777" w:rsidR="00B52C38" w:rsidRPr="00B32EF2" w:rsidRDefault="00B52C38" w:rsidP="00B32EF2">
            <w:pPr>
              <w:rPr>
                <w:rFonts w:ascii="Arial" w:hAnsi="Arial" w:cs="Arial"/>
                <w:b/>
                <w:color w:val="000000"/>
              </w:rPr>
            </w:pPr>
            <w:r w:rsidRPr="00B32EF2">
              <w:rPr>
                <w:rFonts w:ascii="Arial" w:hAnsi="Arial" w:cs="Arial"/>
                <w:b/>
                <w:color w:val="000000"/>
              </w:rPr>
              <w:t>Spending reviews</w:t>
            </w:r>
          </w:p>
        </w:tc>
        <w:tc>
          <w:tcPr>
            <w:tcW w:w="2104" w:type="pct"/>
            <w:vAlign w:val="center"/>
          </w:tcPr>
          <w:p w14:paraId="20312CF6" w14:textId="77777777" w:rsidR="00B52C38" w:rsidRPr="00837407" w:rsidRDefault="009A3DA2" w:rsidP="007C27CC">
            <w:pPr>
              <w:jc w:val="center"/>
              <w:rPr>
                <w:rFonts w:ascii="Arial" w:hAnsi="Arial" w:cs="Arial"/>
                <w:color w:val="000000"/>
              </w:rPr>
            </w:pPr>
            <w:r>
              <w:rPr>
                <w:rFonts w:ascii="Arial" w:hAnsi="Arial" w:cs="Arial"/>
                <w:color w:val="000000"/>
              </w:rPr>
              <w:t>Please write to NIJAC to request this information</w:t>
            </w:r>
            <w:r w:rsidR="007C27CC">
              <w:rPr>
                <w:rFonts w:ascii="Arial" w:hAnsi="Arial" w:cs="Arial"/>
                <w:color w:val="000000"/>
              </w:rPr>
              <w:t>.</w:t>
            </w:r>
            <w:r>
              <w:rPr>
                <w:rFonts w:ascii="Arial" w:hAnsi="Arial" w:cs="Arial"/>
                <w:color w:val="000000"/>
              </w:rPr>
              <w:t xml:space="preserve"> </w:t>
            </w:r>
          </w:p>
        </w:tc>
      </w:tr>
      <w:tr w:rsidR="00B52C38" w:rsidRPr="00837407" w14:paraId="62E9D1F9" w14:textId="77777777" w:rsidTr="00C137EC">
        <w:trPr>
          <w:trHeight w:val="622"/>
        </w:trPr>
        <w:tc>
          <w:tcPr>
            <w:tcW w:w="1563" w:type="pct"/>
            <w:vMerge/>
          </w:tcPr>
          <w:p w14:paraId="4086420E" w14:textId="77777777" w:rsidR="00B52C38" w:rsidRPr="00837407" w:rsidRDefault="00B52C38" w:rsidP="00B52C38">
            <w:pPr>
              <w:rPr>
                <w:rFonts w:ascii="Arial" w:hAnsi="Arial" w:cs="Arial"/>
                <w:color w:val="000000"/>
              </w:rPr>
            </w:pPr>
          </w:p>
        </w:tc>
        <w:tc>
          <w:tcPr>
            <w:tcW w:w="1333" w:type="pct"/>
            <w:vAlign w:val="center"/>
          </w:tcPr>
          <w:p w14:paraId="79A0DDF0" w14:textId="77777777" w:rsidR="00B52C38" w:rsidRPr="00B32EF2" w:rsidRDefault="00B52C38" w:rsidP="00B32EF2">
            <w:pPr>
              <w:rPr>
                <w:rFonts w:ascii="Arial" w:hAnsi="Arial" w:cs="Arial"/>
                <w:b/>
                <w:color w:val="000000"/>
              </w:rPr>
            </w:pPr>
            <w:r w:rsidRPr="00B32EF2">
              <w:rPr>
                <w:rFonts w:ascii="Arial" w:hAnsi="Arial" w:cs="Arial"/>
                <w:b/>
                <w:color w:val="000000"/>
              </w:rPr>
              <w:t>Financial Audit Reports</w:t>
            </w:r>
          </w:p>
        </w:tc>
        <w:tc>
          <w:tcPr>
            <w:tcW w:w="2104" w:type="pct"/>
            <w:vAlign w:val="center"/>
          </w:tcPr>
          <w:p w14:paraId="2B6F2BA3" w14:textId="77777777" w:rsidR="00B52C38" w:rsidRPr="00837407" w:rsidRDefault="009A3DA2" w:rsidP="007C27CC">
            <w:pPr>
              <w:jc w:val="center"/>
              <w:rPr>
                <w:rFonts w:ascii="Arial" w:hAnsi="Arial" w:cs="Arial"/>
                <w:color w:val="000000"/>
              </w:rPr>
            </w:pPr>
            <w:r>
              <w:rPr>
                <w:rFonts w:ascii="Arial" w:hAnsi="Arial" w:cs="Arial"/>
                <w:color w:val="000000"/>
              </w:rPr>
              <w:t>Please write to NIJAC to request this information</w:t>
            </w:r>
            <w:r w:rsidR="007C27CC">
              <w:rPr>
                <w:rFonts w:ascii="Arial" w:hAnsi="Arial" w:cs="Arial"/>
                <w:color w:val="000000"/>
              </w:rPr>
              <w:t>.</w:t>
            </w:r>
            <w:r>
              <w:rPr>
                <w:rFonts w:ascii="Arial" w:hAnsi="Arial" w:cs="Arial"/>
                <w:color w:val="000000"/>
              </w:rPr>
              <w:t xml:space="preserve"> </w:t>
            </w:r>
          </w:p>
        </w:tc>
      </w:tr>
      <w:tr w:rsidR="00B52C38" w:rsidRPr="00837407" w14:paraId="25374B3D" w14:textId="77777777" w:rsidTr="00C137EC">
        <w:trPr>
          <w:trHeight w:val="1397"/>
        </w:trPr>
        <w:tc>
          <w:tcPr>
            <w:tcW w:w="1563" w:type="pct"/>
            <w:vMerge/>
          </w:tcPr>
          <w:p w14:paraId="3F291B6B" w14:textId="77777777" w:rsidR="00B52C38" w:rsidRPr="00837407" w:rsidRDefault="00B52C38" w:rsidP="00B52C38">
            <w:pPr>
              <w:rPr>
                <w:rFonts w:ascii="Arial" w:hAnsi="Arial" w:cs="Arial"/>
                <w:color w:val="000000"/>
              </w:rPr>
            </w:pPr>
          </w:p>
        </w:tc>
        <w:tc>
          <w:tcPr>
            <w:tcW w:w="1333" w:type="pct"/>
            <w:vAlign w:val="center"/>
          </w:tcPr>
          <w:p w14:paraId="270DA92C" w14:textId="77777777" w:rsidR="00B52C38" w:rsidRPr="00837407" w:rsidRDefault="00B52C38" w:rsidP="00B32EF2">
            <w:pPr>
              <w:rPr>
                <w:rFonts w:ascii="Arial" w:hAnsi="Arial" w:cs="Arial"/>
                <w:color w:val="000000"/>
              </w:rPr>
            </w:pPr>
            <w:r>
              <w:rPr>
                <w:rFonts w:ascii="Arial" w:hAnsi="Arial" w:cs="Arial"/>
                <w:color w:val="000000"/>
              </w:rPr>
              <w:t>Senior Staff and Board Members Allowances and Expenses</w:t>
            </w:r>
          </w:p>
        </w:tc>
        <w:tc>
          <w:tcPr>
            <w:tcW w:w="2104" w:type="pct"/>
            <w:vAlign w:val="center"/>
          </w:tcPr>
          <w:p w14:paraId="521FB388" w14:textId="77777777" w:rsidR="00B52C38" w:rsidRDefault="00B52C38" w:rsidP="009A3DA2">
            <w:pPr>
              <w:jc w:val="center"/>
              <w:rPr>
                <w:rFonts w:ascii="Arial" w:hAnsi="Arial" w:cs="Arial"/>
                <w:color w:val="000000"/>
              </w:rPr>
            </w:pPr>
            <w:r>
              <w:rPr>
                <w:rFonts w:ascii="Arial" w:hAnsi="Arial" w:cs="Arial"/>
                <w:color w:val="000000"/>
              </w:rPr>
              <w:t xml:space="preserve">Available at </w:t>
            </w:r>
            <w:hyperlink r:id="rId21" w:history="1">
              <w:r w:rsidRPr="00026C75">
                <w:rPr>
                  <w:rStyle w:val="Hyperlink"/>
                  <w:rFonts w:ascii="Arial" w:hAnsi="Arial" w:cs="Arial"/>
                </w:rPr>
                <w:t>www.nijac.gov.uk</w:t>
              </w:r>
            </w:hyperlink>
            <w:r>
              <w:rPr>
                <w:rFonts w:ascii="Arial" w:hAnsi="Arial" w:cs="Arial"/>
                <w:color w:val="000000"/>
              </w:rPr>
              <w:t xml:space="preserve"> under ‘Publications’ in our Annual Report &amp; Accounts</w:t>
            </w:r>
            <w:r w:rsidR="007C27CC">
              <w:rPr>
                <w:rFonts w:ascii="Arial" w:hAnsi="Arial" w:cs="Arial"/>
                <w:color w:val="000000"/>
              </w:rPr>
              <w:t>.</w:t>
            </w:r>
          </w:p>
        </w:tc>
      </w:tr>
      <w:tr w:rsidR="00B52C38" w:rsidRPr="00837407" w14:paraId="28DDB16A" w14:textId="77777777" w:rsidTr="00B32EF2">
        <w:tc>
          <w:tcPr>
            <w:tcW w:w="1563" w:type="pct"/>
            <w:vMerge/>
          </w:tcPr>
          <w:p w14:paraId="554E2D0A" w14:textId="77777777" w:rsidR="00B52C38" w:rsidRPr="00837407" w:rsidRDefault="00B52C38" w:rsidP="00B52C38">
            <w:pPr>
              <w:rPr>
                <w:rFonts w:ascii="Arial" w:hAnsi="Arial" w:cs="Arial"/>
                <w:color w:val="000000"/>
              </w:rPr>
            </w:pPr>
          </w:p>
        </w:tc>
        <w:tc>
          <w:tcPr>
            <w:tcW w:w="1333" w:type="pct"/>
            <w:vAlign w:val="center"/>
          </w:tcPr>
          <w:p w14:paraId="3322B638" w14:textId="77777777" w:rsidR="00B52C38" w:rsidRPr="00B32EF2" w:rsidRDefault="00B52C38" w:rsidP="00B32EF2">
            <w:pPr>
              <w:rPr>
                <w:rFonts w:ascii="Arial" w:hAnsi="Arial" w:cs="Arial"/>
                <w:b/>
                <w:color w:val="000000"/>
              </w:rPr>
            </w:pPr>
            <w:r w:rsidRPr="00B32EF2">
              <w:rPr>
                <w:rFonts w:ascii="Arial" w:hAnsi="Arial" w:cs="Arial"/>
                <w:b/>
                <w:color w:val="000000"/>
              </w:rPr>
              <w:t>Pay and grading structures</w:t>
            </w:r>
          </w:p>
        </w:tc>
        <w:tc>
          <w:tcPr>
            <w:tcW w:w="2104" w:type="pct"/>
            <w:vAlign w:val="center"/>
          </w:tcPr>
          <w:p w14:paraId="55B55729" w14:textId="77777777" w:rsidR="00B52C38" w:rsidRPr="00837407" w:rsidRDefault="009A3DA2" w:rsidP="009A3DA2">
            <w:pPr>
              <w:jc w:val="center"/>
              <w:rPr>
                <w:rFonts w:ascii="Arial" w:hAnsi="Arial" w:cs="Arial"/>
                <w:i/>
                <w:color w:val="FF0000"/>
              </w:rPr>
            </w:pPr>
            <w:r>
              <w:rPr>
                <w:rFonts w:ascii="Arial" w:hAnsi="Arial" w:cs="Arial"/>
                <w:color w:val="000000"/>
              </w:rPr>
              <w:t>NIJAC follows NICS pay and grading structures. Please write to NIJAC to request this information</w:t>
            </w:r>
            <w:r w:rsidR="007C27CC">
              <w:rPr>
                <w:rFonts w:ascii="Arial" w:hAnsi="Arial" w:cs="Arial"/>
                <w:color w:val="000000"/>
              </w:rPr>
              <w:t>.</w:t>
            </w:r>
          </w:p>
        </w:tc>
      </w:tr>
      <w:tr w:rsidR="00B52C38" w:rsidRPr="00837407" w14:paraId="0A234DCA" w14:textId="77777777" w:rsidTr="00B32EF2">
        <w:tc>
          <w:tcPr>
            <w:tcW w:w="1563" w:type="pct"/>
            <w:vMerge/>
          </w:tcPr>
          <w:p w14:paraId="5BEBEA1A" w14:textId="77777777" w:rsidR="00B52C38" w:rsidRPr="00837407" w:rsidRDefault="00B52C38" w:rsidP="00B52C38">
            <w:pPr>
              <w:rPr>
                <w:rFonts w:ascii="Arial" w:hAnsi="Arial" w:cs="Arial"/>
                <w:color w:val="000000"/>
              </w:rPr>
            </w:pPr>
          </w:p>
        </w:tc>
        <w:tc>
          <w:tcPr>
            <w:tcW w:w="1333" w:type="pct"/>
            <w:vAlign w:val="center"/>
          </w:tcPr>
          <w:p w14:paraId="0480C2F0" w14:textId="77777777" w:rsidR="00B52C38" w:rsidRPr="00B32EF2" w:rsidRDefault="00B52C38" w:rsidP="00B32EF2">
            <w:pPr>
              <w:rPr>
                <w:rFonts w:ascii="Arial" w:hAnsi="Arial" w:cs="Arial"/>
                <w:b/>
                <w:color w:val="000000"/>
              </w:rPr>
            </w:pPr>
            <w:r w:rsidRPr="00B32EF2">
              <w:rPr>
                <w:rFonts w:ascii="Arial" w:hAnsi="Arial" w:cs="Arial"/>
                <w:b/>
                <w:color w:val="000000"/>
              </w:rPr>
              <w:t>Procurement procedures</w:t>
            </w:r>
          </w:p>
        </w:tc>
        <w:tc>
          <w:tcPr>
            <w:tcW w:w="2104" w:type="pct"/>
            <w:vAlign w:val="center"/>
          </w:tcPr>
          <w:p w14:paraId="5AC31C58" w14:textId="77777777" w:rsidR="00B52C38" w:rsidRPr="00837407" w:rsidRDefault="009A3DA2" w:rsidP="009A3DA2">
            <w:pPr>
              <w:jc w:val="center"/>
              <w:rPr>
                <w:rFonts w:ascii="Arial" w:hAnsi="Arial" w:cs="Arial"/>
                <w:i/>
                <w:color w:val="FF0000"/>
              </w:rPr>
            </w:pPr>
            <w:r>
              <w:rPr>
                <w:rFonts w:ascii="Arial" w:hAnsi="Arial" w:cs="Arial"/>
                <w:color w:val="000000"/>
              </w:rPr>
              <w:t>NIJAC follows NICS procurement procedures. Please write to NIJAC to request this information</w:t>
            </w:r>
            <w:r w:rsidR="007C27CC">
              <w:rPr>
                <w:rFonts w:ascii="Arial" w:hAnsi="Arial" w:cs="Arial"/>
                <w:color w:val="000000"/>
              </w:rPr>
              <w:t>.</w:t>
            </w:r>
          </w:p>
        </w:tc>
      </w:tr>
      <w:tr w:rsidR="00B52C38" w:rsidRPr="00837407" w14:paraId="6426BBC5" w14:textId="77777777" w:rsidTr="00C137EC">
        <w:trPr>
          <w:trHeight w:val="1251"/>
        </w:trPr>
        <w:tc>
          <w:tcPr>
            <w:tcW w:w="1563" w:type="pct"/>
            <w:vMerge/>
          </w:tcPr>
          <w:p w14:paraId="076BEE7E" w14:textId="77777777" w:rsidR="00B52C38" w:rsidRPr="00837407" w:rsidRDefault="00B52C38" w:rsidP="00B52C38">
            <w:pPr>
              <w:rPr>
                <w:rFonts w:ascii="Arial" w:hAnsi="Arial" w:cs="Arial"/>
                <w:color w:val="000000"/>
              </w:rPr>
            </w:pPr>
          </w:p>
        </w:tc>
        <w:tc>
          <w:tcPr>
            <w:tcW w:w="1333" w:type="pct"/>
            <w:vAlign w:val="center"/>
          </w:tcPr>
          <w:p w14:paraId="52A8FC6A" w14:textId="77777777" w:rsidR="00B52C38" w:rsidRPr="00B32EF2" w:rsidRDefault="00B52C38" w:rsidP="00B32EF2">
            <w:pPr>
              <w:rPr>
                <w:rFonts w:ascii="Arial" w:hAnsi="Arial" w:cs="Arial"/>
                <w:b/>
                <w:color w:val="000000"/>
              </w:rPr>
            </w:pPr>
            <w:r w:rsidRPr="00B32EF2">
              <w:rPr>
                <w:rFonts w:ascii="Arial" w:hAnsi="Arial" w:cs="Arial"/>
                <w:b/>
                <w:color w:val="000000"/>
              </w:rPr>
              <w:t>Financial statement for projects and events</w:t>
            </w:r>
          </w:p>
        </w:tc>
        <w:tc>
          <w:tcPr>
            <w:tcW w:w="2104" w:type="pct"/>
            <w:vAlign w:val="center"/>
          </w:tcPr>
          <w:p w14:paraId="37E84187" w14:textId="77777777" w:rsidR="00B52C38" w:rsidRDefault="009A3DA2" w:rsidP="007C27CC">
            <w:pPr>
              <w:jc w:val="center"/>
              <w:rPr>
                <w:rFonts w:ascii="Arial" w:hAnsi="Arial" w:cs="Arial"/>
                <w:color w:val="000000"/>
              </w:rPr>
            </w:pPr>
            <w:r>
              <w:rPr>
                <w:rFonts w:ascii="Arial" w:hAnsi="Arial" w:cs="Arial"/>
                <w:color w:val="000000"/>
              </w:rPr>
              <w:t>Please write to NIJAC to request this information</w:t>
            </w:r>
            <w:r w:rsidR="007C27CC">
              <w:rPr>
                <w:rFonts w:ascii="Arial" w:hAnsi="Arial" w:cs="Arial"/>
                <w:color w:val="000000"/>
              </w:rPr>
              <w:t>.</w:t>
            </w:r>
            <w:r>
              <w:rPr>
                <w:rFonts w:ascii="Arial" w:hAnsi="Arial" w:cs="Arial"/>
                <w:color w:val="000000"/>
              </w:rPr>
              <w:t xml:space="preserve"> </w:t>
            </w:r>
          </w:p>
        </w:tc>
      </w:tr>
      <w:tr w:rsidR="00B52C38" w:rsidRPr="00837407" w14:paraId="3DAC82EA" w14:textId="77777777" w:rsidTr="00C137EC">
        <w:trPr>
          <w:trHeight w:val="894"/>
        </w:trPr>
        <w:tc>
          <w:tcPr>
            <w:tcW w:w="1563" w:type="pct"/>
            <w:vMerge/>
          </w:tcPr>
          <w:p w14:paraId="3CFE6BB4" w14:textId="77777777" w:rsidR="00B52C38" w:rsidRPr="00837407" w:rsidRDefault="00B52C38" w:rsidP="00B52C38">
            <w:pPr>
              <w:rPr>
                <w:rFonts w:ascii="Arial" w:hAnsi="Arial" w:cs="Arial"/>
                <w:color w:val="000000"/>
              </w:rPr>
            </w:pPr>
          </w:p>
        </w:tc>
        <w:tc>
          <w:tcPr>
            <w:tcW w:w="1333" w:type="pct"/>
            <w:vAlign w:val="center"/>
          </w:tcPr>
          <w:p w14:paraId="0776AAE4" w14:textId="77777777" w:rsidR="00B52C38" w:rsidRPr="00837407" w:rsidRDefault="00B52C38" w:rsidP="00B32EF2">
            <w:pPr>
              <w:rPr>
                <w:rFonts w:ascii="Arial" w:hAnsi="Arial" w:cs="Arial"/>
                <w:color w:val="000000"/>
              </w:rPr>
            </w:pPr>
            <w:r>
              <w:rPr>
                <w:rFonts w:ascii="Arial" w:hAnsi="Arial" w:cs="Arial"/>
                <w:color w:val="000000"/>
              </w:rPr>
              <w:t>Internal financial regulations</w:t>
            </w:r>
          </w:p>
        </w:tc>
        <w:tc>
          <w:tcPr>
            <w:tcW w:w="2104" w:type="pct"/>
            <w:vAlign w:val="center"/>
          </w:tcPr>
          <w:p w14:paraId="6E869FC7" w14:textId="77777777" w:rsidR="00B52C38" w:rsidRPr="00837407" w:rsidRDefault="009A3DA2" w:rsidP="007C27CC">
            <w:pPr>
              <w:jc w:val="center"/>
              <w:rPr>
                <w:rFonts w:ascii="Arial" w:hAnsi="Arial" w:cs="Arial"/>
                <w:i/>
                <w:color w:val="FF0000"/>
              </w:rPr>
            </w:pPr>
            <w:r>
              <w:rPr>
                <w:rFonts w:ascii="Arial" w:hAnsi="Arial" w:cs="Arial"/>
                <w:color w:val="000000"/>
              </w:rPr>
              <w:t>Please write to NIJAC to request this information</w:t>
            </w:r>
            <w:r w:rsidR="007C27CC">
              <w:rPr>
                <w:rFonts w:ascii="Arial" w:hAnsi="Arial" w:cs="Arial"/>
                <w:color w:val="000000"/>
              </w:rPr>
              <w:t>.</w:t>
            </w:r>
            <w:r>
              <w:rPr>
                <w:rFonts w:ascii="Arial" w:hAnsi="Arial" w:cs="Arial"/>
                <w:color w:val="000000"/>
              </w:rPr>
              <w:t xml:space="preserve"> </w:t>
            </w:r>
          </w:p>
        </w:tc>
      </w:tr>
    </w:tbl>
    <w:p w14:paraId="1E271AF5" w14:textId="77777777" w:rsidR="00B52C38" w:rsidRPr="00837407" w:rsidRDefault="00B52C38" w:rsidP="00B52C38">
      <w:pPr>
        <w:rPr>
          <w:rFonts w:ascii="Arial" w:hAnsi="Arial" w:cs="Arial"/>
        </w:rPr>
      </w:pPr>
    </w:p>
    <w:p w14:paraId="5D41FB93" w14:textId="77777777" w:rsidR="00B52C38" w:rsidRDefault="00B52C38" w:rsidP="00B52C38">
      <w:r>
        <w:br w:type="page"/>
      </w:r>
    </w:p>
    <w:tbl>
      <w:tblPr>
        <w:tblW w:w="498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84"/>
        <w:gridCol w:w="2203"/>
        <w:gridCol w:w="3477"/>
      </w:tblGrid>
      <w:tr w:rsidR="00B52C38" w:rsidRPr="00837407" w14:paraId="566BEE3F" w14:textId="77777777" w:rsidTr="00CF709A">
        <w:trPr>
          <w:trHeight w:val="294"/>
        </w:trPr>
        <w:tc>
          <w:tcPr>
            <w:tcW w:w="1563" w:type="pct"/>
            <w:shd w:val="clear" w:color="auto" w:fill="BDD6EE" w:themeFill="accent1" w:themeFillTint="66"/>
            <w:vAlign w:val="center"/>
          </w:tcPr>
          <w:p w14:paraId="475D16AF" w14:textId="77777777" w:rsidR="00B52C38" w:rsidRPr="00902CDC" w:rsidRDefault="00B52C38" w:rsidP="00B52C38">
            <w:pPr>
              <w:jc w:val="center"/>
              <w:rPr>
                <w:rFonts w:ascii="Arial" w:hAnsi="Arial" w:cs="Arial"/>
                <w:b/>
                <w:color w:val="000000"/>
                <w:sz w:val="28"/>
                <w:szCs w:val="28"/>
              </w:rPr>
            </w:pPr>
            <w:r w:rsidRPr="00AB0013">
              <w:rPr>
                <w:rFonts w:ascii="Arial" w:hAnsi="Arial" w:cs="Arial"/>
                <w:b/>
                <w:color w:val="000000"/>
                <w:sz w:val="28"/>
                <w:szCs w:val="28"/>
              </w:rPr>
              <w:lastRenderedPageBreak/>
              <w:t>Class of Information</w:t>
            </w:r>
          </w:p>
        </w:tc>
        <w:tc>
          <w:tcPr>
            <w:tcW w:w="1333" w:type="pct"/>
            <w:shd w:val="clear" w:color="auto" w:fill="BDD6EE" w:themeFill="accent1" w:themeFillTint="66"/>
            <w:vAlign w:val="center"/>
          </w:tcPr>
          <w:p w14:paraId="593C2112" w14:textId="77777777" w:rsidR="00B52C38" w:rsidRPr="00837407" w:rsidRDefault="00B52C38" w:rsidP="00B52C38">
            <w:pPr>
              <w:jc w:val="center"/>
              <w:rPr>
                <w:rFonts w:ascii="Arial" w:hAnsi="Arial" w:cs="Arial"/>
                <w:color w:val="000000"/>
              </w:rPr>
            </w:pPr>
            <w:r w:rsidRPr="00AB0013">
              <w:rPr>
                <w:rFonts w:ascii="Arial" w:hAnsi="Arial" w:cs="Arial"/>
                <w:b/>
                <w:color w:val="000000"/>
                <w:sz w:val="28"/>
                <w:szCs w:val="28"/>
              </w:rPr>
              <w:t>Description</w:t>
            </w:r>
          </w:p>
        </w:tc>
        <w:tc>
          <w:tcPr>
            <w:tcW w:w="2104" w:type="pct"/>
            <w:shd w:val="clear" w:color="auto" w:fill="BDD6EE" w:themeFill="accent1" w:themeFillTint="66"/>
            <w:vAlign w:val="center"/>
          </w:tcPr>
          <w:p w14:paraId="72CDA626" w14:textId="77777777" w:rsidR="00B52C38" w:rsidRDefault="00B52C38" w:rsidP="00B52C38">
            <w:pPr>
              <w:jc w:val="center"/>
              <w:rPr>
                <w:rFonts w:ascii="Arial" w:hAnsi="Arial" w:cs="Arial"/>
                <w:color w:val="000000"/>
              </w:rPr>
            </w:pPr>
            <w:r w:rsidRPr="00AB0013">
              <w:rPr>
                <w:rFonts w:ascii="Arial" w:hAnsi="Arial" w:cs="Arial"/>
                <w:b/>
                <w:color w:val="000000"/>
                <w:sz w:val="28"/>
                <w:szCs w:val="28"/>
              </w:rPr>
              <w:t>Available from</w:t>
            </w:r>
          </w:p>
        </w:tc>
      </w:tr>
      <w:tr w:rsidR="00C137EC" w:rsidRPr="00837407" w14:paraId="37725C49" w14:textId="77777777" w:rsidTr="00B51D8A">
        <w:trPr>
          <w:trHeight w:val="858"/>
        </w:trPr>
        <w:tc>
          <w:tcPr>
            <w:tcW w:w="1563" w:type="pct"/>
            <w:vMerge w:val="restart"/>
            <w:vAlign w:val="center"/>
          </w:tcPr>
          <w:p w14:paraId="059FDD34" w14:textId="77777777" w:rsidR="00C137EC" w:rsidRPr="00837407" w:rsidRDefault="00C137EC" w:rsidP="00B52C38">
            <w:pPr>
              <w:jc w:val="center"/>
              <w:rPr>
                <w:rFonts w:ascii="Arial" w:hAnsi="Arial" w:cs="Arial"/>
                <w:color w:val="000000"/>
              </w:rPr>
            </w:pPr>
            <w:r w:rsidRPr="00902CDC">
              <w:rPr>
                <w:rFonts w:ascii="Arial" w:hAnsi="Arial" w:cs="Arial"/>
                <w:b/>
                <w:color w:val="000000"/>
                <w:sz w:val="28"/>
                <w:szCs w:val="28"/>
              </w:rPr>
              <w:t>What are our priorities and how are we doing</w:t>
            </w:r>
          </w:p>
        </w:tc>
        <w:tc>
          <w:tcPr>
            <w:tcW w:w="1333" w:type="pct"/>
            <w:vAlign w:val="center"/>
          </w:tcPr>
          <w:p w14:paraId="60F5C019" w14:textId="77777777" w:rsidR="00C137EC" w:rsidRPr="00B32EF2" w:rsidRDefault="00C137EC" w:rsidP="00B32EF2">
            <w:pPr>
              <w:rPr>
                <w:rFonts w:ascii="Arial" w:hAnsi="Arial" w:cs="Arial"/>
                <w:b/>
                <w:color w:val="000000"/>
              </w:rPr>
            </w:pPr>
            <w:r w:rsidRPr="00B32EF2">
              <w:rPr>
                <w:rFonts w:ascii="Arial" w:hAnsi="Arial" w:cs="Arial"/>
                <w:b/>
                <w:color w:val="000000"/>
              </w:rPr>
              <w:t>Annual Business Plan</w:t>
            </w:r>
          </w:p>
        </w:tc>
        <w:tc>
          <w:tcPr>
            <w:tcW w:w="2104" w:type="pct"/>
            <w:vAlign w:val="center"/>
          </w:tcPr>
          <w:p w14:paraId="4ED75F5D" w14:textId="77777777" w:rsidR="00C137EC" w:rsidRPr="00837407" w:rsidRDefault="00C137EC" w:rsidP="00C137EC">
            <w:pPr>
              <w:jc w:val="center"/>
              <w:rPr>
                <w:rFonts w:ascii="Arial" w:hAnsi="Arial" w:cs="Arial"/>
                <w:color w:val="000000"/>
              </w:rPr>
            </w:pPr>
            <w:r>
              <w:rPr>
                <w:rFonts w:ascii="Arial" w:hAnsi="Arial" w:cs="Arial"/>
                <w:color w:val="000000"/>
              </w:rPr>
              <w:t xml:space="preserve">Available at </w:t>
            </w:r>
            <w:hyperlink r:id="rId22" w:history="1">
              <w:r w:rsidRPr="00026C75">
                <w:rPr>
                  <w:rStyle w:val="Hyperlink"/>
                  <w:rFonts w:ascii="Arial" w:hAnsi="Arial" w:cs="Arial"/>
                </w:rPr>
                <w:t>www.nijac.gov.uk</w:t>
              </w:r>
            </w:hyperlink>
            <w:r>
              <w:rPr>
                <w:rFonts w:ascii="Arial" w:hAnsi="Arial" w:cs="Arial"/>
                <w:color w:val="000000"/>
              </w:rPr>
              <w:t xml:space="preserve"> under ‘Publications’ in Business Plan.</w:t>
            </w:r>
          </w:p>
        </w:tc>
      </w:tr>
      <w:tr w:rsidR="00C137EC" w:rsidRPr="00837407" w14:paraId="2EC91172" w14:textId="77777777" w:rsidTr="00B32EF2">
        <w:tc>
          <w:tcPr>
            <w:tcW w:w="1563" w:type="pct"/>
            <w:vMerge/>
          </w:tcPr>
          <w:p w14:paraId="394B2CC5" w14:textId="77777777" w:rsidR="00C137EC" w:rsidRPr="00837407" w:rsidRDefault="00C137EC" w:rsidP="00B52C38">
            <w:pPr>
              <w:rPr>
                <w:rFonts w:ascii="Arial" w:hAnsi="Arial" w:cs="Arial"/>
                <w:color w:val="000000"/>
              </w:rPr>
            </w:pPr>
          </w:p>
        </w:tc>
        <w:tc>
          <w:tcPr>
            <w:tcW w:w="1333" w:type="pct"/>
            <w:vAlign w:val="center"/>
          </w:tcPr>
          <w:p w14:paraId="140149A7" w14:textId="77777777" w:rsidR="00C137EC" w:rsidRPr="00B32EF2" w:rsidRDefault="00C137EC" w:rsidP="00B32EF2">
            <w:pPr>
              <w:rPr>
                <w:rFonts w:ascii="Arial" w:hAnsi="Arial" w:cs="Arial"/>
                <w:b/>
                <w:color w:val="000000"/>
              </w:rPr>
            </w:pPr>
            <w:r w:rsidRPr="00B32EF2">
              <w:rPr>
                <w:rFonts w:ascii="Arial" w:hAnsi="Arial" w:cs="Arial"/>
                <w:b/>
                <w:color w:val="000000"/>
              </w:rPr>
              <w:t>Annual Report</w:t>
            </w:r>
          </w:p>
        </w:tc>
        <w:tc>
          <w:tcPr>
            <w:tcW w:w="2104" w:type="pct"/>
            <w:vAlign w:val="center"/>
          </w:tcPr>
          <w:p w14:paraId="1073351B" w14:textId="77777777" w:rsidR="00C137EC" w:rsidRPr="00837407" w:rsidRDefault="00C137EC" w:rsidP="009A3DA2">
            <w:pPr>
              <w:jc w:val="center"/>
              <w:rPr>
                <w:rFonts w:ascii="Arial" w:hAnsi="Arial" w:cs="Arial"/>
                <w:color w:val="000000"/>
              </w:rPr>
            </w:pPr>
            <w:r>
              <w:rPr>
                <w:rFonts w:ascii="Arial" w:hAnsi="Arial" w:cs="Arial"/>
                <w:color w:val="000000"/>
              </w:rPr>
              <w:t xml:space="preserve">Available at </w:t>
            </w:r>
            <w:hyperlink r:id="rId23" w:history="1">
              <w:r w:rsidRPr="00026C75">
                <w:rPr>
                  <w:rStyle w:val="Hyperlink"/>
                  <w:rFonts w:ascii="Arial" w:hAnsi="Arial" w:cs="Arial"/>
                </w:rPr>
                <w:t>www.nijac.gov.uk</w:t>
              </w:r>
            </w:hyperlink>
            <w:r>
              <w:rPr>
                <w:rFonts w:ascii="Arial" w:hAnsi="Arial" w:cs="Arial"/>
                <w:color w:val="000000"/>
              </w:rPr>
              <w:t xml:space="preserve"> under ‘Publications’ in Annual Report &amp; Accounts.</w:t>
            </w:r>
          </w:p>
        </w:tc>
      </w:tr>
      <w:tr w:rsidR="00B52C38" w:rsidRPr="00837407" w14:paraId="2511508A" w14:textId="77777777" w:rsidTr="00C137EC">
        <w:trPr>
          <w:trHeight w:val="1177"/>
        </w:trPr>
        <w:tc>
          <w:tcPr>
            <w:tcW w:w="1563" w:type="pct"/>
            <w:vMerge/>
          </w:tcPr>
          <w:p w14:paraId="72AF0493" w14:textId="77777777" w:rsidR="00B52C38" w:rsidRPr="00837407" w:rsidRDefault="00B52C38" w:rsidP="00B52C38">
            <w:pPr>
              <w:rPr>
                <w:rFonts w:ascii="Arial" w:hAnsi="Arial" w:cs="Arial"/>
                <w:color w:val="000000"/>
              </w:rPr>
            </w:pPr>
          </w:p>
        </w:tc>
        <w:tc>
          <w:tcPr>
            <w:tcW w:w="1333" w:type="pct"/>
            <w:vAlign w:val="center"/>
          </w:tcPr>
          <w:p w14:paraId="3F4F6427" w14:textId="77777777" w:rsidR="00B52C38" w:rsidRPr="00B32EF2" w:rsidRDefault="00B52C38" w:rsidP="00B32EF2">
            <w:pPr>
              <w:rPr>
                <w:rFonts w:ascii="Arial" w:hAnsi="Arial" w:cs="Arial"/>
                <w:b/>
                <w:color w:val="000000"/>
              </w:rPr>
            </w:pPr>
            <w:r w:rsidRPr="00B32EF2">
              <w:rPr>
                <w:rFonts w:ascii="Arial" w:hAnsi="Arial" w:cs="Arial"/>
                <w:b/>
                <w:color w:val="000000"/>
              </w:rPr>
              <w:t>Internal and external performance reviews</w:t>
            </w:r>
          </w:p>
        </w:tc>
        <w:tc>
          <w:tcPr>
            <w:tcW w:w="2104" w:type="pct"/>
            <w:vMerge w:val="restart"/>
            <w:vAlign w:val="center"/>
          </w:tcPr>
          <w:p w14:paraId="63C2039C" w14:textId="77777777" w:rsidR="00B52C38" w:rsidRPr="00837407" w:rsidRDefault="009A3DA2" w:rsidP="007C27CC">
            <w:pPr>
              <w:jc w:val="center"/>
              <w:rPr>
                <w:rFonts w:ascii="Arial" w:hAnsi="Arial" w:cs="Arial"/>
                <w:color w:val="000000"/>
              </w:rPr>
            </w:pPr>
            <w:r>
              <w:rPr>
                <w:rFonts w:ascii="Arial" w:hAnsi="Arial" w:cs="Arial"/>
                <w:color w:val="000000"/>
              </w:rPr>
              <w:t>Please write to NIJAC to request this information</w:t>
            </w:r>
            <w:r w:rsidR="007C27CC">
              <w:rPr>
                <w:rFonts w:ascii="Arial" w:hAnsi="Arial" w:cs="Arial"/>
                <w:color w:val="000000"/>
              </w:rPr>
              <w:t>.</w:t>
            </w:r>
            <w:r>
              <w:rPr>
                <w:rFonts w:ascii="Arial" w:hAnsi="Arial" w:cs="Arial"/>
                <w:color w:val="000000"/>
              </w:rPr>
              <w:t xml:space="preserve"> </w:t>
            </w:r>
          </w:p>
        </w:tc>
      </w:tr>
      <w:tr w:rsidR="00B52C38" w:rsidRPr="00837407" w14:paraId="3EF89FED" w14:textId="77777777" w:rsidTr="00C137EC">
        <w:trPr>
          <w:trHeight w:val="754"/>
        </w:trPr>
        <w:tc>
          <w:tcPr>
            <w:tcW w:w="1563" w:type="pct"/>
            <w:vMerge/>
          </w:tcPr>
          <w:p w14:paraId="244B81F2" w14:textId="77777777" w:rsidR="00B52C38" w:rsidRPr="00837407" w:rsidRDefault="00B52C38" w:rsidP="00B52C38">
            <w:pPr>
              <w:rPr>
                <w:rFonts w:ascii="Arial" w:hAnsi="Arial" w:cs="Arial"/>
                <w:color w:val="000000"/>
              </w:rPr>
            </w:pPr>
          </w:p>
        </w:tc>
        <w:tc>
          <w:tcPr>
            <w:tcW w:w="1333" w:type="pct"/>
            <w:vAlign w:val="center"/>
          </w:tcPr>
          <w:p w14:paraId="7FC4E326" w14:textId="77777777" w:rsidR="00B52C38" w:rsidRPr="00B32EF2" w:rsidRDefault="00B52C38" w:rsidP="00B32EF2">
            <w:pPr>
              <w:rPr>
                <w:rFonts w:ascii="Arial" w:hAnsi="Arial" w:cs="Arial"/>
                <w:b/>
                <w:color w:val="000000"/>
              </w:rPr>
            </w:pPr>
            <w:r w:rsidRPr="00B32EF2">
              <w:rPr>
                <w:rFonts w:ascii="Arial" w:hAnsi="Arial" w:cs="Arial"/>
                <w:b/>
                <w:color w:val="000000"/>
              </w:rPr>
              <w:t>Reports to the NI Assembly</w:t>
            </w:r>
          </w:p>
        </w:tc>
        <w:tc>
          <w:tcPr>
            <w:tcW w:w="2104" w:type="pct"/>
            <w:vMerge/>
            <w:vAlign w:val="center"/>
          </w:tcPr>
          <w:p w14:paraId="3F4B1886" w14:textId="77777777" w:rsidR="00B52C38" w:rsidRPr="00837407" w:rsidRDefault="00B52C38" w:rsidP="009A3DA2">
            <w:pPr>
              <w:jc w:val="center"/>
              <w:rPr>
                <w:rFonts w:ascii="Arial" w:hAnsi="Arial" w:cs="Arial"/>
                <w:color w:val="000000"/>
              </w:rPr>
            </w:pPr>
          </w:p>
        </w:tc>
      </w:tr>
      <w:tr w:rsidR="00B52C38" w:rsidRPr="00837407" w14:paraId="5829BBCF" w14:textId="77777777" w:rsidTr="00C137EC">
        <w:trPr>
          <w:trHeight w:val="1442"/>
        </w:trPr>
        <w:tc>
          <w:tcPr>
            <w:tcW w:w="1563" w:type="pct"/>
            <w:vMerge/>
          </w:tcPr>
          <w:p w14:paraId="631C195E" w14:textId="77777777" w:rsidR="00B52C38" w:rsidRPr="00837407" w:rsidRDefault="00B52C38" w:rsidP="00B52C38">
            <w:pPr>
              <w:rPr>
                <w:rFonts w:ascii="Arial" w:hAnsi="Arial" w:cs="Arial"/>
                <w:color w:val="000000"/>
              </w:rPr>
            </w:pPr>
          </w:p>
        </w:tc>
        <w:tc>
          <w:tcPr>
            <w:tcW w:w="1333" w:type="pct"/>
            <w:vAlign w:val="center"/>
          </w:tcPr>
          <w:p w14:paraId="480615EC" w14:textId="77777777" w:rsidR="00B52C38" w:rsidRPr="00B32EF2" w:rsidRDefault="00B52C38" w:rsidP="00B32EF2">
            <w:pPr>
              <w:rPr>
                <w:rFonts w:ascii="Arial" w:hAnsi="Arial" w:cs="Arial"/>
                <w:b/>
                <w:color w:val="000000"/>
              </w:rPr>
            </w:pPr>
            <w:r w:rsidRPr="00B32EF2">
              <w:rPr>
                <w:rFonts w:ascii="Arial" w:hAnsi="Arial" w:cs="Arial"/>
                <w:b/>
                <w:color w:val="000000"/>
              </w:rPr>
              <w:t>Inspection reports where the NDPB is subject to formal inspection</w:t>
            </w:r>
          </w:p>
        </w:tc>
        <w:tc>
          <w:tcPr>
            <w:tcW w:w="2104" w:type="pct"/>
            <w:vMerge/>
            <w:vAlign w:val="center"/>
          </w:tcPr>
          <w:p w14:paraId="2C83D25B" w14:textId="77777777" w:rsidR="00B52C38" w:rsidRPr="00837407" w:rsidRDefault="00B52C38" w:rsidP="009A3DA2">
            <w:pPr>
              <w:jc w:val="center"/>
              <w:rPr>
                <w:rFonts w:ascii="Arial" w:hAnsi="Arial" w:cs="Arial"/>
                <w:color w:val="000000"/>
              </w:rPr>
            </w:pPr>
          </w:p>
        </w:tc>
      </w:tr>
      <w:tr w:rsidR="00B52C38" w:rsidRPr="00837407" w14:paraId="7439B7DB" w14:textId="77777777" w:rsidTr="00C137EC">
        <w:trPr>
          <w:trHeight w:val="684"/>
        </w:trPr>
        <w:tc>
          <w:tcPr>
            <w:tcW w:w="1563" w:type="pct"/>
            <w:vMerge/>
          </w:tcPr>
          <w:p w14:paraId="5416CA5E" w14:textId="77777777" w:rsidR="00B52C38" w:rsidRPr="00837407" w:rsidRDefault="00B52C38" w:rsidP="00B52C38">
            <w:pPr>
              <w:rPr>
                <w:rFonts w:ascii="Arial" w:hAnsi="Arial" w:cs="Arial"/>
                <w:color w:val="000000"/>
              </w:rPr>
            </w:pPr>
          </w:p>
        </w:tc>
        <w:tc>
          <w:tcPr>
            <w:tcW w:w="1333" w:type="pct"/>
            <w:vAlign w:val="center"/>
          </w:tcPr>
          <w:p w14:paraId="095E4DA5" w14:textId="77777777" w:rsidR="00B52C38" w:rsidRPr="00B32EF2" w:rsidRDefault="00B52C38" w:rsidP="00B32EF2">
            <w:pPr>
              <w:rPr>
                <w:rFonts w:ascii="Arial" w:hAnsi="Arial" w:cs="Arial"/>
                <w:b/>
                <w:color w:val="000000"/>
              </w:rPr>
            </w:pPr>
            <w:r w:rsidRPr="00B32EF2">
              <w:rPr>
                <w:rFonts w:ascii="Arial" w:hAnsi="Arial" w:cs="Arial"/>
                <w:b/>
                <w:color w:val="000000"/>
              </w:rPr>
              <w:t>Impact assessments</w:t>
            </w:r>
          </w:p>
        </w:tc>
        <w:tc>
          <w:tcPr>
            <w:tcW w:w="2104" w:type="pct"/>
            <w:vMerge/>
            <w:vAlign w:val="center"/>
          </w:tcPr>
          <w:p w14:paraId="01D57016" w14:textId="77777777" w:rsidR="00B52C38" w:rsidRPr="00837407" w:rsidRDefault="00B52C38" w:rsidP="009A3DA2">
            <w:pPr>
              <w:jc w:val="center"/>
              <w:rPr>
                <w:rFonts w:ascii="Arial" w:hAnsi="Arial" w:cs="Arial"/>
                <w:color w:val="000000"/>
              </w:rPr>
            </w:pPr>
          </w:p>
        </w:tc>
      </w:tr>
      <w:tr w:rsidR="00B52C38" w:rsidRPr="00837407" w14:paraId="371B7752" w14:textId="77777777" w:rsidTr="00C137EC">
        <w:trPr>
          <w:trHeight w:val="1287"/>
        </w:trPr>
        <w:tc>
          <w:tcPr>
            <w:tcW w:w="1563" w:type="pct"/>
            <w:vMerge/>
          </w:tcPr>
          <w:p w14:paraId="654F51C8" w14:textId="77777777" w:rsidR="00B52C38" w:rsidRPr="00837407" w:rsidRDefault="00B52C38" w:rsidP="00B52C38">
            <w:pPr>
              <w:rPr>
                <w:rFonts w:ascii="Arial" w:hAnsi="Arial" w:cs="Arial"/>
                <w:color w:val="000000"/>
              </w:rPr>
            </w:pPr>
          </w:p>
        </w:tc>
        <w:tc>
          <w:tcPr>
            <w:tcW w:w="1333" w:type="pct"/>
            <w:vAlign w:val="center"/>
          </w:tcPr>
          <w:p w14:paraId="2F0154ED" w14:textId="77777777" w:rsidR="00B52C38" w:rsidRPr="00B32EF2" w:rsidRDefault="00B52C38" w:rsidP="00B32EF2">
            <w:pPr>
              <w:rPr>
                <w:rFonts w:ascii="Arial" w:hAnsi="Arial" w:cs="Arial"/>
                <w:b/>
                <w:color w:val="000000"/>
              </w:rPr>
            </w:pPr>
            <w:r w:rsidRPr="00B32EF2">
              <w:rPr>
                <w:rFonts w:ascii="Arial" w:hAnsi="Arial" w:cs="Arial"/>
                <w:b/>
                <w:color w:val="000000"/>
              </w:rPr>
              <w:t>Privacy impact assessments (in full or summary format)</w:t>
            </w:r>
          </w:p>
        </w:tc>
        <w:tc>
          <w:tcPr>
            <w:tcW w:w="2104" w:type="pct"/>
            <w:vMerge/>
            <w:vAlign w:val="center"/>
          </w:tcPr>
          <w:p w14:paraId="6123D7D2" w14:textId="77777777" w:rsidR="00B52C38" w:rsidRPr="00837407" w:rsidRDefault="00B52C38" w:rsidP="009A3DA2">
            <w:pPr>
              <w:jc w:val="center"/>
              <w:rPr>
                <w:rFonts w:ascii="Arial" w:hAnsi="Arial" w:cs="Arial"/>
                <w:color w:val="000000"/>
              </w:rPr>
            </w:pPr>
          </w:p>
        </w:tc>
      </w:tr>
      <w:tr w:rsidR="00B52C38" w:rsidRPr="00837407" w14:paraId="78B317D2" w14:textId="77777777" w:rsidTr="00C137EC">
        <w:trPr>
          <w:trHeight w:val="722"/>
        </w:trPr>
        <w:tc>
          <w:tcPr>
            <w:tcW w:w="1563" w:type="pct"/>
            <w:vMerge/>
          </w:tcPr>
          <w:p w14:paraId="33BD4B13" w14:textId="77777777" w:rsidR="00B52C38" w:rsidRPr="00837407" w:rsidRDefault="00B52C38" w:rsidP="00B52C38">
            <w:pPr>
              <w:rPr>
                <w:rFonts w:ascii="Arial" w:hAnsi="Arial" w:cs="Arial"/>
                <w:color w:val="000000"/>
              </w:rPr>
            </w:pPr>
          </w:p>
        </w:tc>
        <w:tc>
          <w:tcPr>
            <w:tcW w:w="1333" w:type="pct"/>
            <w:vAlign w:val="center"/>
          </w:tcPr>
          <w:p w14:paraId="7FF5D9E9" w14:textId="77777777" w:rsidR="00B52C38" w:rsidRPr="00B32EF2" w:rsidRDefault="00B52C38" w:rsidP="00B32EF2">
            <w:pPr>
              <w:rPr>
                <w:rFonts w:ascii="Arial" w:hAnsi="Arial" w:cs="Arial"/>
                <w:b/>
                <w:color w:val="000000"/>
              </w:rPr>
            </w:pPr>
            <w:r w:rsidRPr="00B32EF2">
              <w:rPr>
                <w:rFonts w:ascii="Arial" w:hAnsi="Arial" w:cs="Arial"/>
                <w:b/>
                <w:color w:val="000000"/>
              </w:rPr>
              <w:t>Service standards</w:t>
            </w:r>
          </w:p>
        </w:tc>
        <w:tc>
          <w:tcPr>
            <w:tcW w:w="2104" w:type="pct"/>
            <w:vMerge/>
            <w:vAlign w:val="center"/>
          </w:tcPr>
          <w:p w14:paraId="15B5C0D3" w14:textId="77777777" w:rsidR="00B52C38" w:rsidRPr="00837407" w:rsidRDefault="00B52C38" w:rsidP="009A3DA2">
            <w:pPr>
              <w:jc w:val="center"/>
              <w:rPr>
                <w:rFonts w:ascii="Arial" w:hAnsi="Arial" w:cs="Arial"/>
                <w:color w:val="000000"/>
              </w:rPr>
            </w:pPr>
          </w:p>
        </w:tc>
      </w:tr>
      <w:tr w:rsidR="00B52C38" w:rsidRPr="00837407" w14:paraId="77BE2676" w14:textId="77777777" w:rsidTr="00C137EC">
        <w:trPr>
          <w:trHeight w:val="1567"/>
        </w:trPr>
        <w:tc>
          <w:tcPr>
            <w:tcW w:w="1563" w:type="pct"/>
            <w:vMerge/>
          </w:tcPr>
          <w:p w14:paraId="09A5C3D6" w14:textId="77777777" w:rsidR="00B52C38" w:rsidRPr="00837407" w:rsidRDefault="00B52C38" w:rsidP="00B52C38">
            <w:pPr>
              <w:rPr>
                <w:rFonts w:ascii="Arial" w:hAnsi="Arial" w:cs="Arial"/>
                <w:color w:val="000000"/>
              </w:rPr>
            </w:pPr>
          </w:p>
        </w:tc>
        <w:tc>
          <w:tcPr>
            <w:tcW w:w="1333" w:type="pct"/>
            <w:vAlign w:val="center"/>
          </w:tcPr>
          <w:p w14:paraId="375695A0" w14:textId="77777777" w:rsidR="00B52C38" w:rsidRPr="00B32EF2" w:rsidRDefault="00B52C38" w:rsidP="00B32EF2">
            <w:pPr>
              <w:rPr>
                <w:rFonts w:ascii="Arial" w:hAnsi="Arial" w:cs="Arial"/>
                <w:b/>
                <w:color w:val="000000"/>
              </w:rPr>
            </w:pPr>
            <w:r w:rsidRPr="00B32EF2">
              <w:rPr>
                <w:rFonts w:ascii="Arial" w:hAnsi="Arial" w:cs="Arial"/>
                <w:b/>
                <w:color w:val="000000"/>
              </w:rPr>
              <w:t>Statistics produced in accordance with the NDPB’s requirements</w:t>
            </w:r>
          </w:p>
        </w:tc>
        <w:tc>
          <w:tcPr>
            <w:tcW w:w="2104" w:type="pct"/>
            <w:vMerge/>
            <w:vAlign w:val="center"/>
          </w:tcPr>
          <w:p w14:paraId="0FB6ED66" w14:textId="77777777" w:rsidR="00B52C38" w:rsidRDefault="00B52C38" w:rsidP="009A3DA2">
            <w:pPr>
              <w:jc w:val="center"/>
              <w:rPr>
                <w:rFonts w:ascii="Arial" w:hAnsi="Arial" w:cs="Arial"/>
                <w:color w:val="000000"/>
              </w:rPr>
            </w:pPr>
          </w:p>
        </w:tc>
      </w:tr>
      <w:tr w:rsidR="00B52C38" w:rsidRPr="00837407" w14:paraId="6C2BBC1F" w14:textId="77777777" w:rsidTr="00B32EF2">
        <w:tc>
          <w:tcPr>
            <w:tcW w:w="1563" w:type="pct"/>
            <w:vMerge/>
          </w:tcPr>
          <w:p w14:paraId="54D676D9" w14:textId="77777777" w:rsidR="00B52C38" w:rsidRPr="00837407" w:rsidRDefault="00B52C38" w:rsidP="00B52C38">
            <w:pPr>
              <w:rPr>
                <w:rFonts w:ascii="Arial" w:hAnsi="Arial" w:cs="Arial"/>
                <w:color w:val="000000"/>
              </w:rPr>
            </w:pPr>
          </w:p>
        </w:tc>
        <w:tc>
          <w:tcPr>
            <w:tcW w:w="1333" w:type="pct"/>
            <w:vAlign w:val="center"/>
          </w:tcPr>
          <w:p w14:paraId="429A57F2" w14:textId="77777777" w:rsidR="00B52C38" w:rsidRPr="00B32EF2" w:rsidRDefault="00B52C38" w:rsidP="00B32EF2">
            <w:pPr>
              <w:rPr>
                <w:rFonts w:ascii="Arial" w:hAnsi="Arial" w:cs="Arial"/>
                <w:b/>
                <w:color w:val="000000"/>
              </w:rPr>
            </w:pPr>
            <w:r w:rsidRPr="00B32EF2">
              <w:rPr>
                <w:rFonts w:ascii="Arial" w:hAnsi="Arial" w:cs="Arial"/>
                <w:b/>
                <w:color w:val="000000"/>
              </w:rPr>
              <w:t>Strategic Plans</w:t>
            </w:r>
          </w:p>
        </w:tc>
        <w:tc>
          <w:tcPr>
            <w:tcW w:w="2104" w:type="pct"/>
            <w:vAlign w:val="center"/>
          </w:tcPr>
          <w:p w14:paraId="362CB515" w14:textId="77777777" w:rsidR="00B52C38" w:rsidRPr="00837407" w:rsidRDefault="00B52C38" w:rsidP="009A3DA2">
            <w:pPr>
              <w:jc w:val="center"/>
              <w:rPr>
                <w:rFonts w:ascii="Arial" w:hAnsi="Arial" w:cs="Arial"/>
                <w:color w:val="000000"/>
              </w:rPr>
            </w:pPr>
            <w:r>
              <w:rPr>
                <w:rFonts w:ascii="Arial" w:hAnsi="Arial" w:cs="Arial"/>
                <w:color w:val="000000"/>
              </w:rPr>
              <w:t xml:space="preserve">Available at </w:t>
            </w:r>
            <w:hyperlink r:id="rId24" w:history="1">
              <w:r w:rsidRPr="00026C75">
                <w:rPr>
                  <w:rStyle w:val="Hyperlink"/>
                  <w:rFonts w:ascii="Arial" w:hAnsi="Arial" w:cs="Arial"/>
                </w:rPr>
                <w:t>www.nijac.gov.uk</w:t>
              </w:r>
            </w:hyperlink>
            <w:r>
              <w:rPr>
                <w:rFonts w:ascii="Arial" w:hAnsi="Arial" w:cs="Arial"/>
                <w:color w:val="000000"/>
              </w:rPr>
              <w:t xml:space="preserve"> under ‘Publications’ in our Annual Report &amp; Accounts, Business Plan and in our Corporate Plan</w:t>
            </w:r>
            <w:r w:rsidR="007C27CC">
              <w:rPr>
                <w:rFonts w:ascii="Arial" w:hAnsi="Arial" w:cs="Arial"/>
                <w:color w:val="000000"/>
              </w:rPr>
              <w:t>.</w:t>
            </w:r>
          </w:p>
        </w:tc>
      </w:tr>
      <w:tr w:rsidR="00B52C38" w:rsidRPr="00837407" w14:paraId="150BED45" w14:textId="77777777" w:rsidTr="00C137EC">
        <w:trPr>
          <w:trHeight w:val="870"/>
        </w:trPr>
        <w:tc>
          <w:tcPr>
            <w:tcW w:w="1563" w:type="pct"/>
            <w:vMerge/>
          </w:tcPr>
          <w:p w14:paraId="64DCD4C4" w14:textId="77777777" w:rsidR="00B52C38" w:rsidRPr="00837407" w:rsidRDefault="00B52C38" w:rsidP="00B52C38">
            <w:pPr>
              <w:rPr>
                <w:rFonts w:ascii="Arial" w:hAnsi="Arial" w:cs="Arial"/>
                <w:color w:val="000000"/>
              </w:rPr>
            </w:pPr>
          </w:p>
        </w:tc>
        <w:tc>
          <w:tcPr>
            <w:tcW w:w="1333" w:type="pct"/>
            <w:vAlign w:val="center"/>
          </w:tcPr>
          <w:p w14:paraId="06DB4570" w14:textId="77777777" w:rsidR="00B52C38" w:rsidRPr="00B32EF2" w:rsidRDefault="00B52C38" w:rsidP="00B32EF2">
            <w:pPr>
              <w:rPr>
                <w:rFonts w:ascii="Arial" w:hAnsi="Arial" w:cs="Arial"/>
                <w:b/>
                <w:color w:val="000000"/>
              </w:rPr>
            </w:pPr>
            <w:r w:rsidRPr="00B32EF2">
              <w:rPr>
                <w:rFonts w:ascii="Arial" w:hAnsi="Arial" w:cs="Arial"/>
                <w:b/>
                <w:color w:val="000000"/>
              </w:rPr>
              <w:t>Public service agreements</w:t>
            </w:r>
          </w:p>
        </w:tc>
        <w:tc>
          <w:tcPr>
            <w:tcW w:w="2104" w:type="pct"/>
            <w:vAlign w:val="center"/>
          </w:tcPr>
          <w:p w14:paraId="2503922F" w14:textId="77777777" w:rsidR="00B52C38" w:rsidRPr="00837407" w:rsidRDefault="009A3DA2" w:rsidP="007C27CC">
            <w:pPr>
              <w:jc w:val="center"/>
              <w:rPr>
                <w:rFonts w:ascii="Arial" w:hAnsi="Arial" w:cs="Arial"/>
                <w:color w:val="000000"/>
              </w:rPr>
            </w:pPr>
            <w:r>
              <w:rPr>
                <w:rFonts w:ascii="Arial" w:hAnsi="Arial" w:cs="Arial"/>
                <w:color w:val="000000"/>
              </w:rPr>
              <w:t>Please write to NIJAC to request this information</w:t>
            </w:r>
            <w:r w:rsidR="007C27CC">
              <w:rPr>
                <w:rFonts w:ascii="Arial" w:hAnsi="Arial" w:cs="Arial"/>
                <w:color w:val="000000"/>
              </w:rPr>
              <w:t>.</w:t>
            </w:r>
          </w:p>
        </w:tc>
      </w:tr>
    </w:tbl>
    <w:p w14:paraId="059A1B87" w14:textId="77777777" w:rsidR="00B52C38" w:rsidRDefault="00B52C38" w:rsidP="00B52C38">
      <w:r>
        <w:br w:type="page"/>
      </w:r>
    </w:p>
    <w:tbl>
      <w:tblPr>
        <w:tblW w:w="498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84"/>
        <w:gridCol w:w="2203"/>
        <w:gridCol w:w="3477"/>
      </w:tblGrid>
      <w:tr w:rsidR="00B52C38" w:rsidRPr="00837407" w14:paraId="311E3BB2" w14:textId="77777777" w:rsidTr="00CF709A">
        <w:trPr>
          <w:trHeight w:val="558"/>
        </w:trPr>
        <w:tc>
          <w:tcPr>
            <w:tcW w:w="1563" w:type="pct"/>
            <w:shd w:val="clear" w:color="auto" w:fill="BDD6EE" w:themeFill="accent1" w:themeFillTint="66"/>
            <w:vAlign w:val="center"/>
          </w:tcPr>
          <w:p w14:paraId="041ECB03" w14:textId="77777777" w:rsidR="00B52C38" w:rsidRPr="00902CDC" w:rsidRDefault="00B52C38" w:rsidP="00B52C38">
            <w:pPr>
              <w:jc w:val="center"/>
              <w:rPr>
                <w:rFonts w:ascii="Arial" w:hAnsi="Arial" w:cs="Arial"/>
                <w:b/>
                <w:color w:val="000000"/>
                <w:sz w:val="28"/>
                <w:szCs w:val="28"/>
              </w:rPr>
            </w:pPr>
            <w:r w:rsidRPr="00AB0013">
              <w:rPr>
                <w:rFonts w:ascii="Arial" w:hAnsi="Arial" w:cs="Arial"/>
                <w:b/>
                <w:color w:val="000000"/>
                <w:sz w:val="28"/>
                <w:szCs w:val="28"/>
              </w:rPr>
              <w:lastRenderedPageBreak/>
              <w:t>Class of Information</w:t>
            </w:r>
          </w:p>
        </w:tc>
        <w:tc>
          <w:tcPr>
            <w:tcW w:w="1333" w:type="pct"/>
            <w:shd w:val="clear" w:color="auto" w:fill="BDD6EE" w:themeFill="accent1" w:themeFillTint="66"/>
            <w:vAlign w:val="center"/>
          </w:tcPr>
          <w:p w14:paraId="2C5ED1B6" w14:textId="77777777" w:rsidR="00B52C38" w:rsidRPr="00837407" w:rsidRDefault="00B52C38" w:rsidP="00B52C38">
            <w:pPr>
              <w:jc w:val="center"/>
              <w:rPr>
                <w:rFonts w:ascii="Arial" w:hAnsi="Arial" w:cs="Arial"/>
                <w:color w:val="000000"/>
              </w:rPr>
            </w:pPr>
            <w:r w:rsidRPr="00AB0013">
              <w:rPr>
                <w:rFonts w:ascii="Arial" w:hAnsi="Arial" w:cs="Arial"/>
                <w:b/>
                <w:color w:val="000000"/>
                <w:sz w:val="28"/>
                <w:szCs w:val="28"/>
              </w:rPr>
              <w:t>Description</w:t>
            </w:r>
          </w:p>
        </w:tc>
        <w:tc>
          <w:tcPr>
            <w:tcW w:w="2104" w:type="pct"/>
            <w:shd w:val="clear" w:color="auto" w:fill="BDD6EE" w:themeFill="accent1" w:themeFillTint="66"/>
            <w:vAlign w:val="center"/>
          </w:tcPr>
          <w:p w14:paraId="4C9FFF9E" w14:textId="77777777" w:rsidR="00B52C38" w:rsidRDefault="00B52C38" w:rsidP="00B52C38">
            <w:pPr>
              <w:jc w:val="center"/>
              <w:rPr>
                <w:rFonts w:ascii="Arial" w:hAnsi="Arial" w:cs="Arial"/>
                <w:color w:val="000000"/>
              </w:rPr>
            </w:pPr>
            <w:r w:rsidRPr="00AB0013">
              <w:rPr>
                <w:rFonts w:ascii="Arial" w:hAnsi="Arial" w:cs="Arial"/>
                <w:b/>
                <w:color w:val="000000"/>
                <w:sz w:val="28"/>
                <w:szCs w:val="28"/>
              </w:rPr>
              <w:t>Available from</w:t>
            </w:r>
          </w:p>
        </w:tc>
      </w:tr>
      <w:tr w:rsidR="00B52C38" w:rsidRPr="00837407" w14:paraId="037D1A38" w14:textId="77777777" w:rsidTr="00C137EC">
        <w:trPr>
          <w:trHeight w:val="1082"/>
        </w:trPr>
        <w:tc>
          <w:tcPr>
            <w:tcW w:w="1563" w:type="pct"/>
            <w:vMerge w:val="restart"/>
            <w:vAlign w:val="center"/>
          </w:tcPr>
          <w:p w14:paraId="6FE4F9B2" w14:textId="77777777" w:rsidR="00B52C38" w:rsidRPr="001F5A80" w:rsidRDefault="00B52C38" w:rsidP="00B52C38">
            <w:pPr>
              <w:jc w:val="center"/>
              <w:rPr>
                <w:rFonts w:ascii="Arial" w:hAnsi="Arial" w:cs="Arial"/>
                <w:b/>
                <w:color w:val="000000"/>
                <w:sz w:val="28"/>
                <w:szCs w:val="28"/>
              </w:rPr>
            </w:pPr>
            <w:r w:rsidRPr="00902CDC">
              <w:rPr>
                <w:rFonts w:ascii="Arial" w:hAnsi="Arial" w:cs="Arial"/>
                <w:b/>
                <w:color w:val="000000"/>
                <w:sz w:val="28"/>
                <w:szCs w:val="28"/>
              </w:rPr>
              <w:t>How we make decisions</w:t>
            </w:r>
          </w:p>
        </w:tc>
        <w:tc>
          <w:tcPr>
            <w:tcW w:w="1333" w:type="pct"/>
            <w:vAlign w:val="center"/>
          </w:tcPr>
          <w:p w14:paraId="3E4C204B" w14:textId="77777777" w:rsidR="00B52C38" w:rsidRPr="00937EFF" w:rsidRDefault="00B52C38" w:rsidP="00B32EF2">
            <w:pPr>
              <w:rPr>
                <w:rFonts w:ascii="Arial" w:hAnsi="Arial" w:cs="Arial"/>
                <w:b/>
                <w:color w:val="000000"/>
              </w:rPr>
            </w:pPr>
            <w:r w:rsidRPr="00937EFF">
              <w:rPr>
                <w:rFonts w:ascii="Arial" w:hAnsi="Arial" w:cs="Arial"/>
                <w:b/>
                <w:color w:val="000000"/>
              </w:rPr>
              <w:t>Major policy proposals and decisions</w:t>
            </w:r>
          </w:p>
        </w:tc>
        <w:tc>
          <w:tcPr>
            <w:tcW w:w="2104" w:type="pct"/>
            <w:vAlign w:val="center"/>
          </w:tcPr>
          <w:p w14:paraId="097FB631" w14:textId="77777777" w:rsidR="00B52C38" w:rsidRPr="00837407" w:rsidRDefault="00B52C38" w:rsidP="009A3DA2">
            <w:pPr>
              <w:jc w:val="center"/>
              <w:rPr>
                <w:rFonts w:ascii="Arial" w:hAnsi="Arial" w:cs="Arial"/>
                <w:color w:val="000000"/>
              </w:rPr>
            </w:pPr>
            <w:r>
              <w:rPr>
                <w:rFonts w:ascii="Arial" w:hAnsi="Arial" w:cs="Arial"/>
                <w:color w:val="000000"/>
              </w:rPr>
              <w:t xml:space="preserve">Available under minutes of </w:t>
            </w:r>
            <w:r w:rsidR="009A3DA2">
              <w:rPr>
                <w:rFonts w:ascii="Arial" w:hAnsi="Arial" w:cs="Arial"/>
                <w:color w:val="000000"/>
              </w:rPr>
              <w:t>Plenary</w:t>
            </w:r>
            <w:r>
              <w:rPr>
                <w:rFonts w:ascii="Arial" w:hAnsi="Arial" w:cs="Arial"/>
                <w:color w:val="000000"/>
              </w:rPr>
              <w:t xml:space="preserve"> meetings as set out below.</w:t>
            </w:r>
          </w:p>
        </w:tc>
      </w:tr>
      <w:tr w:rsidR="00B52C38" w:rsidRPr="00837407" w14:paraId="1535797F" w14:textId="77777777" w:rsidTr="00C137EC">
        <w:trPr>
          <w:trHeight w:val="1775"/>
        </w:trPr>
        <w:tc>
          <w:tcPr>
            <w:tcW w:w="1563" w:type="pct"/>
            <w:vMerge/>
          </w:tcPr>
          <w:p w14:paraId="71639475" w14:textId="77777777" w:rsidR="00B52C38" w:rsidRPr="00837407" w:rsidRDefault="00B52C38" w:rsidP="00B52C38">
            <w:pPr>
              <w:rPr>
                <w:rFonts w:ascii="Arial" w:hAnsi="Arial" w:cs="Arial"/>
                <w:color w:val="000000"/>
              </w:rPr>
            </w:pPr>
          </w:p>
        </w:tc>
        <w:tc>
          <w:tcPr>
            <w:tcW w:w="1333" w:type="pct"/>
            <w:vAlign w:val="center"/>
          </w:tcPr>
          <w:p w14:paraId="14433C9A" w14:textId="77777777" w:rsidR="00B52C38" w:rsidRPr="00937EFF" w:rsidRDefault="00B52C38" w:rsidP="00B32EF2">
            <w:pPr>
              <w:rPr>
                <w:rFonts w:ascii="Arial" w:hAnsi="Arial" w:cs="Arial"/>
                <w:b/>
                <w:color w:val="000000"/>
              </w:rPr>
            </w:pPr>
            <w:r w:rsidRPr="00937EFF">
              <w:rPr>
                <w:rFonts w:ascii="Arial" w:hAnsi="Arial" w:cs="Arial"/>
                <w:b/>
                <w:color w:val="000000"/>
              </w:rPr>
              <w:t>Background information relating to major policy proposals and decisions</w:t>
            </w:r>
          </w:p>
        </w:tc>
        <w:tc>
          <w:tcPr>
            <w:tcW w:w="2104" w:type="pct"/>
            <w:vAlign w:val="center"/>
          </w:tcPr>
          <w:p w14:paraId="7278893A" w14:textId="77777777" w:rsidR="00B52C38" w:rsidRPr="00837407" w:rsidRDefault="009A3DA2" w:rsidP="007C27CC">
            <w:pPr>
              <w:jc w:val="center"/>
              <w:rPr>
                <w:rFonts w:ascii="Arial" w:hAnsi="Arial" w:cs="Arial"/>
                <w:i/>
                <w:color w:val="FF0000"/>
              </w:rPr>
            </w:pPr>
            <w:r>
              <w:rPr>
                <w:rFonts w:ascii="Arial" w:hAnsi="Arial" w:cs="Arial"/>
                <w:color w:val="000000"/>
              </w:rPr>
              <w:t>Please write to NIJAC to request this information</w:t>
            </w:r>
            <w:r w:rsidR="007C27CC">
              <w:rPr>
                <w:rFonts w:ascii="Arial" w:hAnsi="Arial" w:cs="Arial"/>
                <w:color w:val="000000"/>
              </w:rPr>
              <w:t>.</w:t>
            </w:r>
            <w:r>
              <w:rPr>
                <w:rFonts w:ascii="Arial" w:hAnsi="Arial" w:cs="Arial"/>
                <w:color w:val="000000"/>
              </w:rPr>
              <w:t xml:space="preserve"> </w:t>
            </w:r>
          </w:p>
        </w:tc>
      </w:tr>
      <w:tr w:rsidR="00B52C38" w:rsidRPr="00837407" w14:paraId="12ECD51F" w14:textId="77777777" w:rsidTr="00C137EC">
        <w:trPr>
          <w:trHeight w:val="802"/>
        </w:trPr>
        <w:tc>
          <w:tcPr>
            <w:tcW w:w="1563" w:type="pct"/>
            <w:vMerge/>
          </w:tcPr>
          <w:p w14:paraId="3F82C7B1" w14:textId="77777777" w:rsidR="00B52C38" w:rsidRPr="00837407" w:rsidRDefault="00B52C38" w:rsidP="00B52C38">
            <w:pPr>
              <w:rPr>
                <w:rFonts w:ascii="Arial" w:hAnsi="Arial" w:cs="Arial"/>
                <w:color w:val="000000"/>
              </w:rPr>
            </w:pPr>
          </w:p>
        </w:tc>
        <w:tc>
          <w:tcPr>
            <w:tcW w:w="1333" w:type="pct"/>
            <w:vAlign w:val="center"/>
          </w:tcPr>
          <w:p w14:paraId="1733A0E1" w14:textId="77777777" w:rsidR="00B52C38" w:rsidRPr="00837407" w:rsidRDefault="00B52C38" w:rsidP="00B32EF2">
            <w:pPr>
              <w:rPr>
                <w:rFonts w:ascii="Arial" w:hAnsi="Arial" w:cs="Arial"/>
                <w:color w:val="000000"/>
              </w:rPr>
            </w:pPr>
            <w:r>
              <w:rPr>
                <w:rFonts w:ascii="Arial" w:hAnsi="Arial" w:cs="Arial"/>
                <w:color w:val="000000"/>
              </w:rPr>
              <w:t>Public Consultations</w:t>
            </w:r>
          </w:p>
        </w:tc>
        <w:tc>
          <w:tcPr>
            <w:tcW w:w="2104" w:type="pct"/>
            <w:vAlign w:val="center"/>
          </w:tcPr>
          <w:p w14:paraId="32AF8778" w14:textId="77777777" w:rsidR="00B52C38" w:rsidRPr="00837407" w:rsidRDefault="009A3DA2" w:rsidP="007C27CC">
            <w:pPr>
              <w:jc w:val="center"/>
              <w:rPr>
                <w:rFonts w:ascii="Arial" w:hAnsi="Arial" w:cs="Arial"/>
                <w:i/>
                <w:color w:val="FF0000"/>
              </w:rPr>
            </w:pPr>
            <w:r>
              <w:rPr>
                <w:rFonts w:ascii="Arial" w:hAnsi="Arial" w:cs="Arial"/>
                <w:color w:val="000000"/>
              </w:rPr>
              <w:t>Please write to NIJAC to request this information</w:t>
            </w:r>
            <w:r w:rsidR="007C27CC">
              <w:rPr>
                <w:rFonts w:ascii="Arial" w:hAnsi="Arial" w:cs="Arial"/>
                <w:color w:val="000000"/>
              </w:rPr>
              <w:t>.</w:t>
            </w:r>
            <w:r>
              <w:rPr>
                <w:rFonts w:ascii="Arial" w:hAnsi="Arial" w:cs="Arial"/>
                <w:color w:val="000000"/>
              </w:rPr>
              <w:t xml:space="preserve"> </w:t>
            </w:r>
          </w:p>
        </w:tc>
      </w:tr>
      <w:tr w:rsidR="00B52C38" w:rsidRPr="00837407" w14:paraId="2685299A" w14:textId="77777777" w:rsidTr="00C137EC">
        <w:trPr>
          <w:trHeight w:val="782"/>
        </w:trPr>
        <w:tc>
          <w:tcPr>
            <w:tcW w:w="1563" w:type="pct"/>
            <w:vMerge/>
          </w:tcPr>
          <w:p w14:paraId="22B8C787" w14:textId="77777777" w:rsidR="00B52C38" w:rsidRPr="00837407" w:rsidRDefault="00B52C38" w:rsidP="00B52C38">
            <w:pPr>
              <w:rPr>
                <w:rFonts w:ascii="Arial" w:hAnsi="Arial" w:cs="Arial"/>
                <w:color w:val="000000"/>
              </w:rPr>
            </w:pPr>
          </w:p>
        </w:tc>
        <w:tc>
          <w:tcPr>
            <w:tcW w:w="1333" w:type="pct"/>
            <w:vAlign w:val="center"/>
          </w:tcPr>
          <w:p w14:paraId="25CB418A" w14:textId="71F57564" w:rsidR="00B52C38" w:rsidRPr="00937EFF" w:rsidRDefault="00B52C38" w:rsidP="00B32EF2">
            <w:pPr>
              <w:rPr>
                <w:rFonts w:ascii="Arial" w:hAnsi="Arial" w:cs="Arial"/>
                <w:b/>
                <w:color w:val="000000"/>
              </w:rPr>
            </w:pPr>
            <w:r w:rsidRPr="00937EFF">
              <w:rPr>
                <w:rFonts w:ascii="Arial" w:hAnsi="Arial" w:cs="Arial"/>
                <w:b/>
                <w:color w:val="000000"/>
              </w:rPr>
              <w:t>Minutes of senior level meetings</w:t>
            </w:r>
            <w:r w:rsidR="00E6492C">
              <w:rPr>
                <w:rFonts w:ascii="Arial" w:hAnsi="Arial" w:cs="Arial"/>
                <w:b/>
                <w:color w:val="000000"/>
              </w:rPr>
              <w:t xml:space="preserve"> - Plenary</w:t>
            </w:r>
          </w:p>
        </w:tc>
        <w:tc>
          <w:tcPr>
            <w:tcW w:w="2104" w:type="pct"/>
            <w:vAlign w:val="center"/>
          </w:tcPr>
          <w:p w14:paraId="019E0728" w14:textId="77777777" w:rsidR="00B52C38" w:rsidRPr="00837407" w:rsidRDefault="00B52C38" w:rsidP="00C137EC">
            <w:pPr>
              <w:jc w:val="center"/>
              <w:rPr>
                <w:rFonts w:ascii="Arial" w:hAnsi="Arial" w:cs="Arial"/>
                <w:i/>
                <w:color w:val="FF0000"/>
              </w:rPr>
            </w:pPr>
            <w:r>
              <w:rPr>
                <w:rFonts w:ascii="Arial" w:hAnsi="Arial" w:cs="Arial"/>
                <w:color w:val="000000"/>
              </w:rPr>
              <w:t xml:space="preserve">Available at </w:t>
            </w:r>
            <w:hyperlink r:id="rId25" w:history="1">
              <w:r w:rsidRPr="00026C75">
                <w:rPr>
                  <w:rStyle w:val="Hyperlink"/>
                  <w:rFonts w:ascii="Arial" w:hAnsi="Arial" w:cs="Arial"/>
                </w:rPr>
                <w:t>www.nijac.gov.uk</w:t>
              </w:r>
            </w:hyperlink>
            <w:r w:rsidR="009A3DA2">
              <w:rPr>
                <w:rFonts w:ascii="Arial" w:hAnsi="Arial" w:cs="Arial"/>
                <w:color w:val="000000"/>
              </w:rPr>
              <w:t xml:space="preserve"> under ‘Publications’</w:t>
            </w:r>
            <w:r>
              <w:rPr>
                <w:rFonts w:ascii="Arial" w:hAnsi="Arial" w:cs="Arial"/>
                <w:color w:val="000000"/>
              </w:rPr>
              <w:t xml:space="preserve"> </w:t>
            </w:r>
            <w:r w:rsidR="00C137EC">
              <w:rPr>
                <w:rFonts w:ascii="Arial" w:hAnsi="Arial" w:cs="Arial"/>
                <w:color w:val="000000"/>
              </w:rPr>
              <w:t xml:space="preserve">in </w:t>
            </w:r>
            <w:r w:rsidR="009A3DA2">
              <w:rPr>
                <w:rFonts w:ascii="Arial" w:hAnsi="Arial" w:cs="Arial"/>
                <w:color w:val="000000"/>
              </w:rPr>
              <w:t>‘</w:t>
            </w:r>
            <w:r>
              <w:rPr>
                <w:rFonts w:ascii="Arial" w:hAnsi="Arial" w:cs="Arial"/>
                <w:color w:val="000000"/>
              </w:rPr>
              <w:t>Minutes</w:t>
            </w:r>
            <w:r w:rsidR="009A3DA2">
              <w:rPr>
                <w:rFonts w:ascii="Arial" w:hAnsi="Arial" w:cs="Arial"/>
                <w:color w:val="000000"/>
              </w:rPr>
              <w:t>’</w:t>
            </w:r>
            <w:r>
              <w:rPr>
                <w:rFonts w:ascii="Arial" w:hAnsi="Arial" w:cs="Arial"/>
                <w:color w:val="000000"/>
              </w:rPr>
              <w:t>.</w:t>
            </w:r>
          </w:p>
        </w:tc>
      </w:tr>
      <w:tr w:rsidR="00B52C38" w:rsidRPr="00837407" w14:paraId="6A64150A" w14:textId="77777777" w:rsidTr="00C137EC">
        <w:trPr>
          <w:trHeight w:val="1612"/>
        </w:trPr>
        <w:tc>
          <w:tcPr>
            <w:tcW w:w="1563" w:type="pct"/>
            <w:vMerge/>
          </w:tcPr>
          <w:p w14:paraId="5D99C8E5" w14:textId="77777777" w:rsidR="00B52C38" w:rsidRPr="00837407" w:rsidRDefault="00B52C38" w:rsidP="00B52C38">
            <w:pPr>
              <w:rPr>
                <w:rFonts w:ascii="Arial" w:hAnsi="Arial" w:cs="Arial"/>
                <w:color w:val="000000"/>
              </w:rPr>
            </w:pPr>
          </w:p>
        </w:tc>
        <w:tc>
          <w:tcPr>
            <w:tcW w:w="1333" w:type="pct"/>
            <w:vAlign w:val="center"/>
          </w:tcPr>
          <w:p w14:paraId="6FBCD743" w14:textId="77777777" w:rsidR="00B52C38" w:rsidRPr="00937EFF" w:rsidRDefault="00B52C38" w:rsidP="00B32EF2">
            <w:pPr>
              <w:rPr>
                <w:rFonts w:ascii="Arial" w:hAnsi="Arial" w:cs="Arial"/>
                <w:b/>
                <w:color w:val="000000"/>
              </w:rPr>
            </w:pPr>
            <w:r w:rsidRPr="00937EFF">
              <w:rPr>
                <w:rFonts w:ascii="Arial" w:hAnsi="Arial" w:cs="Arial"/>
                <w:b/>
                <w:color w:val="000000"/>
              </w:rPr>
              <w:t>Reports and papers provided for consideration at senior level meetings</w:t>
            </w:r>
          </w:p>
        </w:tc>
        <w:tc>
          <w:tcPr>
            <w:tcW w:w="2104" w:type="pct"/>
            <w:vMerge w:val="restart"/>
            <w:vAlign w:val="center"/>
          </w:tcPr>
          <w:p w14:paraId="3A9B143C" w14:textId="77777777" w:rsidR="00B52C38" w:rsidRPr="00837407" w:rsidRDefault="009A3DA2" w:rsidP="007C27CC">
            <w:pPr>
              <w:jc w:val="center"/>
              <w:rPr>
                <w:rFonts w:ascii="Arial" w:hAnsi="Arial" w:cs="Arial"/>
                <w:i/>
                <w:color w:val="FF0000"/>
              </w:rPr>
            </w:pPr>
            <w:r>
              <w:rPr>
                <w:rFonts w:ascii="Arial" w:hAnsi="Arial" w:cs="Arial"/>
                <w:color w:val="000000"/>
              </w:rPr>
              <w:t>Please write to NIJAC to request this information</w:t>
            </w:r>
            <w:r w:rsidR="007C27CC">
              <w:rPr>
                <w:rFonts w:ascii="Arial" w:hAnsi="Arial" w:cs="Arial"/>
                <w:color w:val="000000"/>
              </w:rPr>
              <w:t>.</w:t>
            </w:r>
            <w:r>
              <w:rPr>
                <w:rFonts w:ascii="Arial" w:hAnsi="Arial" w:cs="Arial"/>
                <w:color w:val="000000"/>
              </w:rPr>
              <w:t xml:space="preserve"> </w:t>
            </w:r>
          </w:p>
        </w:tc>
      </w:tr>
      <w:tr w:rsidR="00B52C38" w:rsidRPr="00837407" w14:paraId="09C36B4E" w14:textId="77777777" w:rsidTr="00C137EC">
        <w:trPr>
          <w:trHeight w:val="2611"/>
        </w:trPr>
        <w:tc>
          <w:tcPr>
            <w:tcW w:w="1563" w:type="pct"/>
            <w:vMerge/>
          </w:tcPr>
          <w:p w14:paraId="1C881945" w14:textId="77777777" w:rsidR="00B52C38" w:rsidRPr="00837407" w:rsidRDefault="00B52C38" w:rsidP="00B52C38">
            <w:pPr>
              <w:rPr>
                <w:rFonts w:ascii="Arial" w:hAnsi="Arial" w:cs="Arial"/>
                <w:color w:val="000000"/>
              </w:rPr>
            </w:pPr>
          </w:p>
        </w:tc>
        <w:tc>
          <w:tcPr>
            <w:tcW w:w="1333" w:type="pct"/>
            <w:vAlign w:val="center"/>
          </w:tcPr>
          <w:p w14:paraId="2C3E307A" w14:textId="77777777" w:rsidR="00B52C38" w:rsidRPr="00937EFF" w:rsidRDefault="00B52C38" w:rsidP="00B32EF2">
            <w:pPr>
              <w:rPr>
                <w:rFonts w:ascii="Arial" w:hAnsi="Arial" w:cs="Arial"/>
                <w:b/>
                <w:color w:val="000000"/>
              </w:rPr>
            </w:pPr>
            <w:r w:rsidRPr="00937EFF">
              <w:rPr>
                <w:rFonts w:ascii="Arial" w:hAnsi="Arial" w:cs="Arial"/>
                <w:b/>
                <w:color w:val="000000"/>
              </w:rPr>
              <w:t xml:space="preserve">Internal communications guidance and criteria used for decision making i.e. process systems </w:t>
            </w:r>
          </w:p>
        </w:tc>
        <w:tc>
          <w:tcPr>
            <w:tcW w:w="2104" w:type="pct"/>
            <w:vMerge/>
          </w:tcPr>
          <w:p w14:paraId="68D68BF0" w14:textId="77777777" w:rsidR="00B52C38" w:rsidRPr="00837407" w:rsidRDefault="00B52C38" w:rsidP="00B52C38">
            <w:pPr>
              <w:rPr>
                <w:rFonts w:ascii="Arial" w:hAnsi="Arial" w:cs="Arial"/>
                <w:i/>
                <w:color w:val="FF0000"/>
              </w:rPr>
            </w:pPr>
          </w:p>
        </w:tc>
      </w:tr>
    </w:tbl>
    <w:p w14:paraId="28F83F24" w14:textId="77777777" w:rsidR="00B52C38" w:rsidRPr="00837407" w:rsidRDefault="00B52C38" w:rsidP="00B52C38">
      <w:pPr>
        <w:rPr>
          <w:rFonts w:ascii="Arial" w:hAnsi="Arial" w:cs="Arial"/>
        </w:rPr>
      </w:pPr>
    </w:p>
    <w:p w14:paraId="569B1D92" w14:textId="77777777" w:rsidR="00B52C38" w:rsidRDefault="00B52C38" w:rsidP="00B52C3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84"/>
        <w:gridCol w:w="2201"/>
        <w:gridCol w:w="3497"/>
      </w:tblGrid>
      <w:tr w:rsidR="00B52C38" w:rsidRPr="00837407" w14:paraId="7A0FC126" w14:textId="77777777" w:rsidTr="00CF709A">
        <w:trPr>
          <w:trHeight w:val="890"/>
        </w:trPr>
        <w:tc>
          <w:tcPr>
            <w:tcW w:w="1560" w:type="pct"/>
            <w:shd w:val="clear" w:color="auto" w:fill="BDD6EE" w:themeFill="accent1" w:themeFillTint="66"/>
            <w:vAlign w:val="center"/>
          </w:tcPr>
          <w:p w14:paraId="17CA4D8C" w14:textId="77777777" w:rsidR="00B52C38" w:rsidRPr="00902CDC" w:rsidRDefault="00B52C38" w:rsidP="00B52C38">
            <w:pPr>
              <w:jc w:val="center"/>
              <w:rPr>
                <w:rFonts w:ascii="Arial" w:hAnsi="Arial" w:cs="Arial"/>
                <w:b/>
                <w:sz w:val="28"/>
                <w:szCs w:val="28"/>
              </w:rPr>
            </w:pPr>
            <w:r w:rsidRPr="00AB0013">
              <w:rPr>
                <w:rFonts w:ascii="Arial" w:hAnsi="Arial" w:cs="Arial"/>
                <w:b/>
                <w:color w:val="000000"/>
                <w:sz w:val="28"/>
                <w:szCs w:val="28"/>
              </w:rPr>
              <w:lastRenderedPageBreak/>
              <w:t>Class of Information</w:t>
            </w:r>
          </w:p>
        </w:tc>
        <w:tc>
          <w:tcPr>
            <w:tcW w:w="1329" w:type="pct"/>
            <w:shd w:val="clear" w:color="auto" w:fill="BDD6EE" w:themeFill="accent1" w:themeFillTint="66"/>
            <w:vAlign w:val="center"/>
          </w:tcPr>
          <w:p w14:paraId="470DAFBA" w14:textId="77777777" w:rsidR="00B52C38" w:rsidRDefault="00B52C38" w:rsidP="00B52C38">
            <w:pPr>
              <w:jc w:val="center"/>
              <w:rPr>
                <w:rFonts w:ascii="Arial" w:hAnsi="Arial" w:cs="Arial"/>
                <w:color w:val="000000"/>
              </w:rPr>
            </w:pPr>
            <w:r w:rsidRPr="00AB0013">
              <w:rPr>
                <w:rFonts w:ascii="Arial" w:hAnsi="Arial" w:cs="Arial"/>
                <w:b/>
                <w:color w:val="000000"/>
                <w:sz w:val="28"/>
                <w:szCs w:val="28"/>
              </w:rPr>
              <w:t>Description</w:t>
            </w:r>
          </w:p>
        </w:tc>
        <w:tc>
          <w:tcPr>
            <w:tcW w:w="2111" w:type="pct"/>
            <w:shd w:val="clear" w:color="auto" w:fill="BDD6EE" w:themeFill="accent1" w:themeFillTint="66"/>
            <w:vAlign w:val="center"/>
          </w:tcPr>
          <w:p w14:paraId="731B516D" w14:textId="77777777" w:rsidR="00B52C38" w:rsidRDefault="00B52C38" w:rsidP="00B52C38">
            <w:pPr>
              <w:jc w:val="center"/>
              <w:rPr>
                <w:rFonts w:ascii="Arial" w:hAnsi="Arial" w:cs="Arial"/>
                <w:color w:val="000000"/>
              </w:rPr>
            </w:pPr>
            <w:r w:rsidRPr="00AB0013">
              <w:rPr>
                <w:rFonts w:ascii="Arial" w:hAnsi="Arial" w:cs="Arial"/>
                <w:b/>
                <w:color w:val="000000"/>
                <w:sz w:val="28"/>
                <w:szCs w:val="28"/>
              </w:rPr>
              <w:t>Available from</w:t>
            </w:r>
          </w:p>
        </w:tc>
      </w:tr>
      <w:tr w:rsidR="00B52C38" w:rsidRPr="00837407" w14:paraId="76730B09" w14:textId="77777777" w:rsidTr="00C137EC">
        <w:trPr>
          <w:trHeight w:val="1539"/>
        </w:trPr>
        <w:tc>
          <w:tcPr>
            <w:tcW w:w="1560" w:type="pct"/>
            <w:vMerge w:val="restart"/>
            <w:shd w:val="clear" w:color="auto" w:fill="auto"/>
            <w:vAlign w:val="center"/>
          </w:tcPr>
          <w:p w14:paraId="4971C710" w14:textId="77777777" w:rsidR="00B52C38" w:rsidRPr="00902CDC" w:rsidRDefault="00B52C38" w:rsidP="00B52C38">
            <w:pPr>
              <w:jc w:val="center"/>
              <w:rPr>
                <w:rFonts w:ascii="Arial" w:hAnsi="Arial" w:cs="Arial"/>
                <w:b/>
                <w:sz w:val="28"/>
                <w:szCs w:val="28"/>
              </w:rPr>
            </w:pPr>
            <w:r w:rsidRPr="00902CDC">
              <w:rPr>
                <w:rFonts w:ascii="Arial" w:hAnsi="Arial" w:cs="Arial"/>
                <w:b/>
                <w:sz w:val="28"/>
                <w:szCs w:val="28"/>
              </w:rPr>
              <w:t>Policies and procedures</w:t>
            </w:r>
          </w:p>
        </w:tc>
        <w:tc>
          <w:tcPr>
            <w:tcW w:w="1329" w:type="pct"/>
            <w:vAlign w:val="center"/>
          </w:tcPr>
          <w:p w14:paraId="2CEE9F2F" w14:textId="77777777" w:rsidR="00B52C38" w:rsidRPr="00837407" w:rsidRDefault="00B52C38" w:rsidP="00B32EF2">
            <w:pPr>
              <w:rPr>
                <w:rFonts w:ascii="Arial" w:hAnsi="Arial" w:cs="Arial"/>
                <w:color w:val="000000"/>
              </w:rPr>
            </w:pPr>
            <w:r>
              <w:rPr>
                <w:rFonts w:ascii="Arial" w:hAnsi="Arial" w:cs="Arial"/>
                <w:color w:val="000000"/>
              </w:rPr>
              <w:t>Policies and procedures for the conduct of organisational business</w:t>
            </w:r>
          </w:p>
        </w:tc>
        <w:tc>
          <w:tcPr>
            <w:tcW w:w="2111" w:type="pct"/>
            <w:vAlign w:val="center"/>
          </w:tcPr>
          <w:p w14:paraId="595D96E7" w14:textId="77777777" w:rsidR="00B52C38" w:rsidRDefault="00B52C38" w:rsidP="00C137EC">
            <w:pPr>
              <w:jc w:val="center"/>
              <w:rPr>
                <w:rFonts w:ascii="Arial" w:hAnsi="Arial" w:cs="Arial"/>
                <w:color w:val="000000"/>
              </w:rPr>
            </w:pPr>
            <w:r>
              <w:rPr>
                <w:rFonts w:ascii="Arial" w:hAnsi="Arial" w:cs="Arial"/>
                <w:color w:val="000000"/>
              </w:rPr>
              <w:t xml:space="preserve">Available at </w:t>
            </w:r>
            <w:hyperlink r:id="rId26" w:history="1">
              <w:r w:rsidRPr="00026C75">
                <w:rPr>
                  <w:rStyle w:val="Hyperlink"/>
                  <w:rFonts w:ascii="Arial" w:hAnsi="Arial" w:cs="Arial"/>
                </w:rPr>
                <w:t>www.nijac.gov.uk</w:t>
              </w:r>
            </w:hyperlink>
            <w:r>
              <w:rPr>
                <w:rFonts w:ascii="Arial" w:hAnsi="Arial" w:cs="Arial"/>
                <w:color w:val="000000"/>
              </w:rPr>
              <w:t xml:space="preserve"> under ‘</w:t>
            </w:r>
            <w:r w:rsidR="00C137EC">
              <w:rPr>
                <w:rFonts w:ascii="Arial" w:hAnsi="Arial" w:cs="Arial"/>
                <w:color w:val="000000"/>
              </w:rPr>
              <w:t>Quick Links</w:t>
            </w:r>
            <w:r>
              <w:rPr>
                <w:rFonts w:ascii="Arial" w:hAnsi="Arial" w:cs="Arial"/>
                <w:color w:val="000000"/>
              </w:rPr>
              <w:t xml:space="preserve">’ </w:t>
            </w:r>
            <w:r w:rsidR="00C137EC">
              <w:rPr>
                <w:rFonts w:ascii="Arial" w:hAnsi="Arial" w:cs="Arial"/>
                <w:color w:val="000000"/>
              </w:rPr>
              <w:t>in</w:t>
            </w:r>
            <w:r>
              <w:rPr>
                <w:rFonts w:ascii="Arial" w:hAnsi="Arial" w:cs="Arial"/>
                <w:color w:val="000000"/>
              </w:rPr>
              <w:t xml:space="preserve"> ‘Policies’</w:t>
            </w:r>
            <w:r w:rsidR="007C27CC">
              <w:rPr>
                <w:rFonts w:ascii="Arial" w:hAnsi="Arial" w:cs="Arial"/>
                <w:color w:val="000000"/>
              </w:rPr>
              <w:t>.</w:t>
            </w:r>
          </w:p>
        </w:tc>
      </w:tr>
      <w:tr w:rsidR="009A3DA2" w:rsidRPr="00837407" w14:paraId="154BC0A9" w14:textId="77777777" w:rsidTr="00C137EC">
        <w:trPr>
          <w:trHeight w:val="1249"/>
        </w:trPr>
        <w:tc>
          <w:tcPr>
            <w:tcW w:w="1560" w:type="pct"/>
            <w:vMerge/>
            <w:shd w:val="clear" w:color="auto" w:fill="auto"/>
          </w:tcPr>
          <w:p w14:paraId="367B406C" w14:textId="77777777" w:rsidR="009A3DA2" w:rsidRPr="00837407" w:rsidRDefault="009A3DA2" w:rsidP="00B52C38">
            <w:pPr>
              <w:rPr>
                <w:rFonts w:ascii="Arial" w:hAnsi="Arial" w:cs="Arial"/>
                <w:color w:val="000000"/>
              </w:rPr>
            </w:pPr>
          </w:p>
        </w:tc>
        <w:tc>
          <w:tcPr>
            <w:tcW w:w="1329" w:type="pct"/>
            <w:vAlign w:val="center"/>
          </w:tcPr>
          <w:p w14:paraId="3163354B" w14:textId="77777777" w:rsidR="009A3DA2" w:rsidRPr="00937EFF" w:rsidRDefault="009A3DA2" w:rsidP="00B32EF2">
            <w:pPr>
              <w:rPr>
                <w:rFonts w:ascii="Arial" w:hAnsi="Arial" w:cs="Arial"/>
                <w:b/>
                <w:color w:val="000000"/>
              </w:rPr>
            </w:pPr>
            <w:r w:rsidRPr="00937EFF">
              <w:rPr>
                <w:rFonts w:ascii="Arial" w:hAnsi="Arial" w:cs="Arial"/>
                <w:b/>
                <w:color w:val="000000"/>
              </w:rPr>
              <w:t>Policies and procedures for the provision of services</w:t>
            </w:r>
          </w:p>
        </w:tc>
        <w:tc>
          <w:tcPr>
            <w:tcW w:w="2111" w:type="pct"/>
            <w:vMerge w:val="restart"/>
            <w:vAlign w:val="center"/>
          </w:tcPr>
          <w:p w14:paraId="460051B7" w14:textId="77777777" w:rsidR="009A3DA2" w:rsidRPr="00837407" w:rsidRDefault="009A3DA2" w:rsidP="007C27CC">
            <w:pPr>
              <w:jc w:val="center"/>
              <w:rPr>
                <w:rFonts w:ascii="Arial" w:hAnsi="Arial" w:cs="Arial"/>
                <w:color w:val="000000"/>
              </w:rPr>
            </w:pPr>
            <w:r>
              <w:rPr>
                <w:rFonts w:ascii="Arial" w:hAnsi="Arial" w:cs="Arial"/>
                <w:color w:val="000000"/>
              </w:rPr>
              <w:t>NIJAC follows NICS policies and procedures. Please write to NIJAC to request this information</w:t>
            </w:r>
            <w:r w:rsidR="007C27CC">
              <w:rPr>
                <w:rFonts w:ascii="Arial" w:hAnsi="Arial" w:cs="Arial"/>
                <w:color w:val="000000"/>
              </w:rPr>
              <w:t>.</w:t>
            </w:r>
            <w:r>
              <w:rPr>
                <w:rFonts w:ascii="Arial" w:hAnsi="Arial" w:cs="Arial"/>
                <w:color w:val="000000"/>
              </w:rPr>
              <w:t xml:space="preserve"> </w:t>
            </w:r>
          </w:p>
        </w:tc>
      </w:tr>
      <w:tr w:rsidR="009A3DA2" w:rsidRPr="00837407" w14:paraId="575D7253" w14:textId="77777777" w:rsidTr="00C137EC">
        <w:trPr>
          <w:trHeight w:val="1537"/>
        </w:trPr>
        <w:tc>
          <w:tcPr>
            <w:tcW w:w="1560" w:type="pct"/>
            <w:vMerge/>
          </w:tcPr>
          <w:p w14:paraId="162ACB72" w14:textId="77777777" w:rsidR="009A3DA2" w:rsidRPr="00837407" w:rsidRDefault="009A3DA2" w:rsidP="00B52C38">
            <w:pPr>
              <w:rPr>
                <w:rFonts w:ascii="Arial" w:hAnsi="Arial" w:cs="Arial"/>
                <w:color w:val="000000"/>
              </w:rPr>
            </w:pPr>
          </w:p>
        </w:tc>
        <w:tc>
          <w:tcPr>
            <w:tcW w:w="1329" w:type="pct"/>
            <w:vAlign w:val="center"/>
          </w:tcPr>
          <w:p w14:paraId="02CB82CC" w14:textId="77777777" w:rsidR="009A3DA2" w:rsidRPr="00937EFF" w:rsidRDefault="009A3DA2" w:rsidP="00B32EF2">
            <w:pPr>
              <w:rPr>
                <w:rFonts w:ascii="Arial" w:hAnsi="Arial" w:cs="Arial"/>
                <w:b/>
                <w:color w:val="000000"/>
              </w:rPr>
            </w:pPr>
            <w:r w:rsidRPr="00937EFF">
              <w:rPr>
                <w:rFonts w:ascii="Arial" w:hAnsi="Arial" w:cs="Arial"/>
                <w:b/>
                <w:color w:val="000000"/>
              </w:rPr>
              <w:t>Policies and procedures for the recruitment and employment of staff</w:t>
            </w:r>
          </w:p>
        </w:tc>
        <w:tc>
          <w:tcPr>
            <w:tcW w:w="2111" w:type="pct"/>
            <w:vMerge/>
          </w:tcPr>
          <w:p w14:paraId="5465904B" w14:textId="77777777" w:rsidR="009A3DA2" w:rsidRPr="00837407" w:rsidRDefault="009A3DA2" w:rsidP="00B52C38">
            <w:pPr>
              <w:rPr>
                <w:rFonts w:ascii="Arial" w:hAnsi="Arial" w:cs="Arial"/>
                <w:i/>
                <w:color w:val="000000"/>
              </w:rPr>
            </w:pPr>
          </w:p>
        </w:tc>
      </w:tr>
      <w:tr w:rsidR="009A3DA2" w:rsidRPr="00837407" w14:paraId="5C91B142" w14:textId="77777777" w:rsidTr="00B32EF2">
        <w:trPr>
          <w:trHeight w:val="944"/>
        </w:trPr>
        <w:tc>
          <w:tcPr>
            <w:tcW w:w="1560" w:type="pct"/>
            <w:vMerge/>
          </w:tcPr>
          <w:p w14:paraId="36F7CC45" w14:textId="77777777" w:rsidR="009A3DA2" w:rsidRPr="00837407" w:rsidRDefault="009A3DA2" w:rsidP="00B52C38">
            <w:pPr>
              <w:rPr>
                <w:rFonts w:ascii="Arial" w:hAnsi="Arial" w:cs="Arial"/>
                <w:color w:val="000000"/>
              </w:rPr>
            </w:pPr>
          </w:p>
        </w:tc>
        <w:tc>
          <w:tcPr>
            <w:tcW w:w="1329" w:type="pct"/>
            <w:vAlign w:val="center"/>
          </w:tcPr>
          <w:p w14:paraId="5B643F0B" w14:textId="77777777" w:rsidR="009A3DA2" w:rsidRPr="00837407" w:rsidRDefault="009A3DA2" w:rsidP="00B32EF2">
            <w:pPr>
              <w:rPr>
                <w:rFonts w:ascii="Arial" w:hAnsi="Arial" w:cs="Arial"/>
                <w:color w:val="000000"/>
              </w:rPr>
            </w:pPr>
            <w:r>
              <w:rPr>
                <w:rFonts w:ascii="Arial" w:hAnsi="Arial" w:cs="Arial"/>
                <w:color w:val="000000"/>
              </w:rPr>
              <w:t>Customer service</w:t>
            </w:r>
          </w:p>
        </w:tc>
        <w:tc>
          <w:tcPr>
            <w:tcW w:w="2111" w:type="pct"/>
            <w:vMerge/>
          </w:tcPr>
          <w:p w14:paraId="2FD369E1" w14:textId="77777777" w:rsidR="009A3DA2" w:rsidRPr="00837407" w:rsidRDefault="009A3DA2" w:rsidP="00B52C38">
            <w:pPr>
              <w:rPr>
                <w:rFonts w:ascii="Arial" w:hAnsi="Arial" w:cs="Arial"/>
                <w:i/>
                <w:color w:val="FF0000"/>
              </w:rPr>
            </w:pPr>
          </w:p>
        </w:tc>
      </w:tr>
      <w:tr w:rsidR="009A3DA2" w:rsidRPr="00837407" w14:paraId="79A42E53" w14:textId="77777777" w:rsidTr="00C137EC">
        <w:trPr>
          <w:trHeight w:val="1389"/>
        </w:trPr>
        <w:tc>
          <w:tcPr>
            <w:tcW w:w="1560" w:type="pct"/>
            <w:vMerge/>
          </w:tcPr>
          <w:p w14:paraId="5C4A069E" w14:textId="77777777" w:rsidR="009A3DA2" w:rsidRPr="00837407" w:rsidRDefault="009A3DA2" w:rsidP="00B52C38">
            <w:pPr>
              <w:rPr>
                <w:rFonts w:ascii="Arial" w:hAnsi="Arial" w:cs="Arial"/>
                <w:color w:val="000000"/>
              </w:rPr>
            </w:pPr>
          </w:p>
        </w:tc>
        <w:tc>
          <w:tcPr>
            <w:tcW w:w="1329" w:type="pct"/>
            <w:vAlign w:val="center"/>
          </w:tcPr>
          <w:p w14:paraId="1EECCCD8" w14:textId="77777777" w:rsidR="009A3DA2" w:rsidRPr="00937EFF" w:rsidRDefault="009A3DA2" w:rsidP="00B32EF2">
            <w:pPr>
              <w:rPr>
                <w:rFonts w:ascii="Arial" w:hAnsi="Arial" w:cs="Arial"/>
                <w:b/>
                <w:color w:val="000000"/>
              </w:rPr>
            </w:pPr>
            <w:r w:rsidRPr="00937EFF">
              <w:rPr>
                <w:rFonts w:ascii="Arial" w:hAnsi="Arial" w:cs="Arial"/>
                <w:b/>
                <w:color w:val="000000"/>
              </w:rPr>
              <w:t>Records management and personal data policies</w:t>
            </w:r>
          </w:p>
        </w:tc>
        <w:tc>
          <w:tcPr>
            <w:tcW w:w="2111" w:type="pct"/>
            <w:vMerge/>
          </w:tcPr>
          <w:p w14:paraId="7D7B2E17" w14:textId="77777777" w:rsidR="009A3DA2" w:rsidRPr="00837407" w:rsidRDefault="009A3DA2" w:rsidP="00B52C38">
            <w:pPr>
              <w:rPr>
                <w:rFonts w:ascii="Arial" w:hAnsi="Arial" w:cs="Arial"/>
                <w:color w:val="000000"/>
              </w:rPr>
            </w:pPr>
          </w:p>
        </w:tc>
      </w:tr>
      <w:tr w:rsidR="009A3DA2" w:rsidRPr="00837407" w14:paraId="29B225C0" w14:textId="77777777" w:rsidTr="00C137EC">
        <w:trPr>
          <w:trHeight w:val="1679"/>
        </w:trPr>
        <w:tc>
          <w:tcPr>
            <w:tcW w:w="1560" w:type="pct"/>
            <w:vMerge/>
          </w:tcPr>
          <w:p w14:paraId="2A921DAA" w14:textId="77777777" w:rsidR="009A3DA2" w:rsidRPr="00837407" w:rsidRDefault="009A3DA2" w:rsidP="00B52C38">
            <w:pPr>
              <w:rPr>
                <w:rFonts w:ascii="Arial" w:hAnsi="Arial" w:cs="Arial"/>
                <w:color w:val="000000"/>
              </w:rPr>
            </w:pPr>
          </w:p>
        </w:tc>
        <w:tc>
          <w:tcPr>
            <w:tcW w:w="1329" w:type="pct"/>
            <w:vAlign w:val="center"/>
          </w:tcPr>
          <w:p w14:paraId="4288D1CF" w14:textId="77777777" w:rsidR="009A3DA2" w:rsidRPr="00937EFF" w:rsidRDefault="009A3DA2" w:rsidP="00B32EF2">
            <w:pPr>
              <w:rPr>
                <w:rFonts w:ascii="Arial" w:hAnsi="Arial" w:cs="Arial"/>
                <w:b/>
                <w:color w:val="000000"/>
              </w:rPr>
            </w:pPr>
            <w:r w:rsidRPr="00937EFF">
              <w:rPr>
                <w:rFonts w:ascii="Arial" w:hAnsi="Arial" w:cs="Arial"/>
                <w:b/>
                <w:color w:val="000000"/>
              </w:rPr>
              <w:t>File-plans (high level, for current records management systems)</w:t>
            </w:r>
          </w:p>
        </w:tc>
        <w:tc>
          <w:tcPr>
            <w:tcW w:w="2111" w:type="pct"/>
            <w:vMerge/>
            <w:vAlign w:val="center"/>
          </w:tcPr>
          <w:p w14:paraId="15E5BDE1" w14:textId="77777777" w:rsidR="009A3DA2" w:rsidRPr="00837407" w:rsidRDefault="009A3DA2" w:rsidP="00B52C38">
            <w:pPr>
              <w:rPr>
                <w:rFonts w:ascii="Arial" w:hAnsi="Arial" w:cs="Arial"/>
                <w:color w:val="000000"/>
              </w:rPr>
            </w:pPr>
          </w:p>
        </w:tc>
      </w:tr>
      <w:tr w:rsidR="009A3DA2" w:rsidRPr="00837407" w14:paraId="2A3DCD19" w14:textId="77777777" w:rsidTr="00C137EC">
        <w:trPr>
          <w:trHeight w:val="966"/>
        </w:trPr>
        <w:tc>
          <w:tcPr>
            <w:tcW w:w="1560" w:type="pct"/>
            <w:vMerge/>
          </w:tcPr>
          <w:p w14:paraId="325EF564" w14:textId="77777777" w:rsidR="009A3DA2" w:rsidRPr="00837407" w:rsidRDefault="009A3DA2" w:rsidP="00B52C38">
            <w:pPr>
              <w:rPr>
                <w:rFonts w:ascii="Arial" w:hAnsi="Arial" w:cs="Arial"/>
                <w:color w:val="000000"/>
              </w:rPr>
            </w:pPr>
          </w:p>
        </w:tc>
        <w:tc>
          <w:tcPr>
            <w:tcW w:w="1329" w:type="pct"/>
            <w:vAlign w:val="center"/>
          </w:tcPr>
          <w:p w14:paraId="7FF8D178" w14:textId="77777777" w:rsidR="009A3DA2" w:rsidRPr="00937EFF" w:rsidRDefault="009A3DA2" w:rsidP="00B32EF2">
            <w:pPr>
              <w:rPr>
                <w:rFonts w:ascii="Arial" w:hAnsi="Arial" w:cs="Arial"/>
                <w:b/>
                <w:color w:val="000000"/>
              </w:rPr>
            </w:pPr>
            <w:r w:rsidRPr="00937EFF">
              <w:rPr>
                <w:rFonts w:ascii="Arial" w:hAnsi="Arial" w:cs="Arial"/>
                <w:b/>
                <w:color w:val="000000"/>
              </w:rPr>
              <w:t>Charging regime policies</w:t>
            </w:r>
          </w:p>
        </w:tc>
        <w:tc>
          <w:tcPr>
            <w:tcW w:w="2111" w:type="pct"/>
            <w:vMerge/>
          </w:tcPr>
          <w:p w14:paraId="0788E820" w14:textId="77777777" w:rsidR="009A3DA2" w:rsidRPr="00837407" w:rsidRDefault="009A3DA2" w:rsidP="00B52C38">
            <w:pPr>
              <w:rPr>
                <w:rFonts w:ascii="Arial" w:hAnsi="Arial" w:cs="Arial"/>
                <w:i/>
                <w:color w:val="FF0000"/>
              </w:rPr>
            </w:pPr>
          </w:p>
        </w:tc>
      </w:tr>
    </w:tbl>
    <w:p w14:paraId="1FF1F7C6" w14:textId="77777777" w:rsidR="00B52C38" w:rsidRDefault="00B52C38" w:rsidP="00B52C3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84"/>
        <w:gridCol w:w="2201"/>
        <w:gridCol w:w="3497"/>
      </w:tblGrid>
      <w:tr w:rsidR="00B52C38" w:rsidRPr="00837407" w14:paraId="64654897" w14:textId="77777777" w:rsidTr="00CF709A">
        <w:tc>
          <w:tcPr>
            <w:tcW w:w="1560" w:type="pct"/>
            <w:shd w:val="clear" w:color="auto" w:fill="BDD6EE" w:themeFill="accent1" w:themeFillTint="66"/>
            <w:vAlign w:val="center"/>
          </w:tcPr>
          <w:p w14:paraId="20BB298B" w14:textId="77777777" w:rsidR="00B52C38" w:rsidRPr="00902CDC" w:rsidRDefault="00B52C38" w:rsidP="00B52C38">
            <w:pPr>
              <w:jc w:val="center"/>
              <w:rPr>
                <w:rFonts w:ascii="Arial" w:hAnsi="Arial" w:cs="Arial"/>
                <w:b/>
                <w:color w:val="000000"/>
                <w:sz w:val="28"/>
                <w:szCs w:val="28"/>
              </w:rPr>
            </w:pPr>
            <w:r w:rsidRPr="00AB0013">
              <w:rPr>
                <w:rFonts w:ascii="Arial" w:hAnsi="Arial" w:cs="Arial"/>
                <w:b/>
                <w:color w:val="000000"/>
                <w:sz w:val="28"/>
                <w:szCs w:val="28"/>
              </w:rPr>
              <w:lastRenderedPageBreak/>
              <w:t>Class of Information</w:t>
            </w:r>
          </w:p>
        </w:tc>
        <w:tc>
          <w:tcPr>
            <w:tcW w:w="1329" w:type="pct"/>
            <w:shd w:val="clear" w:color="auto" w:fill="BDD6EE" w:themeFill="accent1" w:themeFillTint="66"/>
            <w:vAlign w:val="center"/>
          </w:tcPr>
          <w:p w14:paraId="47357F54" w14:textId="77777777" w:rsidR="00B52C38" w:rsidRPr="00837407" w:rsidRDefault="00B52C38" w:rsidP="00B52C38">
            <w:pPr>
              <w:jc w:val="center"/>
              <w:rPr>
                <w:rFonts w:ascii="Arial" w:hAnsi="Arial" w:cs="Arial"/>
                <w:color w:val="000000"/>
              </w:rPr>
            </w:pPr>
            <w:r w:rsidRPr="00AB0013">
              <w:rPr>
                <w:rFonts w:ascii="Arial" w:hAnsi="Arial" w:cs="Arial"/>
                <w:b/>
                <w:color w:val="000000"/>
                <w:sz w:val="28"/>
                <w:szCs w:val="28"/>
              </w:rPr>
              <w:t>Description</w:t>
            </w:r>
          </w:p>
        </w:tc>
        <w:tc>
          <w:tcPr>
            <w:tcW w:w="2111" w:type="pct"/>
            <w:shd w:val="clear" w:color="auto" w:fill="BDD6EE" w:themeFill="accent1" w:themeFillTint="66"/>
            <w:vAlign w:val="center"/>
          </w:tcPr>
          <w:p w14:paraId="6A629E71" w14:textId="77777777" w:rsidR="00B52C38" w:rsidRDefault="00B52C38" w:rsidP="00B52C38">
            <w:pPr>
              <w:jc w:val="center"/>
              <w:rPr>
                <w:rFonts w:ascii="Arial" w:hAnsi="Arial" w:cs="Arial"/>
                <w:color w:val="000000"/>
              </w:rPr>
            </w:pPr>
            <w:r w:rsidRPr="00AB0013">
              <w:rPr>
                <w:rFonts w:ascii="Arial" w:hAnsi="Arial" w:cs="Arial"/>
                <w:b/>
                <w:color w:val="000000"/>
                <w:sz w:val="28"/>
                <w:szCs w:val="28"/>
              </w:rPr>
              <w:t>Available from</w:t>
            </w:r>
          </w:p>
        </w:tc>
      </w:tr>
      <w:tr w:rsidR="00B52C38" w:rsidRPr="00837407" w14:paraId="5CCDE267" w14:textId="77777777" w:rsidTr="00C137EC">
        <w:trPr>
          <w:trHeight w:val="1366"/>
        </w:trPr>
        <w:tc>
          <w:tcPr>
            <w:tcW w:w="1560" w:type="pct"/>
            <w:vMerge w:val="restart"/>
            <w:shd w:val="clear" w:color="auto" w:fill="auto"/>
            <w:vAlign w:val="center"/>
          </w:tcPr>
          <w:p w14:paraId="1C9EA625" w14:textId="77777777" w:rsidR="00B52C38" w:rsidRPr="008C6B98" w:rsidRDefault="00B52C38" w:rsidP="00B52C38">
            <w:pPr>
              <w:jc w:val="center"/>
              <w:rPr>
                <w:rFonts w:ascii="Arial" w:hAnsi="Arial" w:cs="Arial"/>
                <w:b/>
                <w:color w:val="000000"/>
                <w:sz w:val="28"/>
                <w:szCs w:val="28"/>
              </w:rPr>
            </w:pPr>
            <w:r w:rsidRPr="00902CDC">
              <w:rPr>
                <w:rFonts w:ascii="Arial" w:hAnsi="Arial" w:cs="Arial"/>
                <w:b/>
                <w:color w:val="000000"/>
                <w:sz w:val="28"/>
                <w:szCs w:val="28"/>
              </w:rPr>
              <w:t>Lists and Registers</w:t>
            </w:r>
          </w:p>
        </w:tc>
        <w:tc>
          <w:tcPr>
            <w:tcW w:w="1329" w:type="pct"/>
            <w:vAlign w:val="center"/>
          </w:tcPr>
          <w:p w14:paraId="0D589264" w14:textId="77777777" w:rsidR="00B52C38" w:rsidRPr="00937EFF" w:rsidRDefault="00B52C38" w:rsidP="00B32EF2">
            <w:pPr>
              <w:rPr>
                <w:rFonts w:ascii="Arial" w:hAnsi="Arial" w:cs="Arial"/>
                <w:b/>
                <w:color w:val="000000"/>
              </w:rPr>
            </w:pPr>
            <w:r w:rsidRPr="00937EFF">
              <w:rPr>
                <w:rFonts w:ascii="Arial" w:hAnsi="Arial" w:cs="Arial"/>
                <w:b/>
                <w:color w:val="000000"/>
              </w:rPr>
              <w:t>Public registers and registers held as public records</w:t>
            </w:r>
          </w:p>
        </w:tc>
        <w:tc>
          <w:tcPr>
            <w:tcW w:w="2111" w:type="pct"/>
            <w:vMerge w:val="restart"/>
            <w:vAlign w:val="center"/>
          </w:tcPr>
          <w:p w14:paraId="19F4BB9B" w14:textId="77777777" w:rsidR="00B52C38" w:rsidRPr="00837407" w:rsidRDefault="00B52C38" w:rsidP="00B32EF2">
            <w:pPr>
              <w:jc w:val="center"/>
              <w:rPr>
                <w:rFonts w:ascii="Arial" w:hAnsi="Arial" w:cs="Arial"/>
                <w:i/>
                <w:color w:val="FF0000"/>
              </w:rPr>
            </w:pPr>
            <w:r>
              <w:rPr>
                <w:rFonts w:ascii="Arial" w:hAnsi="Arial" w:cs="Arial"/>
                <w:color w:val="000000"/>
              </w:rPr>
              <w:t>Available for inspection upon request to NIJAC.</w:t>
            </w:r>
          </w:p>
        </w:tc>
      </w:tr>
      <w:tr w:rsidR="00B52C38" w:rsidRPr="00837407" w14:paraId="7EF98677" w14:textId="77777777" w:rsidTr="00C137EC">
        <w:trPr>
          <w:trHeight w:val="1102"/>
        </w:trPr>
        <w:tc>
          <w:tcPr>
            <w:tcW w:w="1560" w:type="pct"/>
            <w:vMerge/>
            <w:shd w:val="clear" w:color="auto" w:fill="auto"/>
          </w:tcPr>
          <w:p w14:paraId="617372FD" w14:textId="77777777" w:rsidR="00B52C38" w:rsidRPr="00837407" w:rsidRDefault="00B52C38" w:rsidP="00B52C38">
            <w:pPr>
              <w:rPr>
                <w:rFonts w:ascii="Arial" w:hAnsi="Arial" w:cs="Arial"/>
                <w:color w:val="000000"/>
              </w:rPr>
            </w:pPr>
          </w:p>
        </w:tc>
        <w:tc>
          <w:tcPr>
            <w:tcW w:w="1329" w:type="pct"/>
            <w:vAlign w:val="center"/>
          </w:tcPr>
          <w:p w14:paraId="250F517E" w14:textId="77777777" w:rsidR="00B52C38" w:rsidRPr="00937EFF" w:rsidRDefault="00B52C38" w:rsidP="00B32EF2">
            <w:pPr>
              <w:rPr>
                <w:rFonts w:ascii="Arial" w:hAnsi="Arial" w:cs="Arial"/>
                <w:b/>
                <w:color w:val="000000"/>
              </w:rPr>
            </w:pPr>
            <w:r w:rsidRPr="00937EFF">
              <w:rPr>
                <w:rFonts w:ascii="Arial" w:hAnsi="Arial" w:cs="Arial"/>
                <w:b/>
                <w:color w:val="000000"/>
              </w:rPr>
              <w:t>Asset registers and information asset register</w:t>
            </w:r>
          </w:p>
        </w:tc>
        <w:tc>
          <w:tcPr>
            <w:tcW w:w="2111" w:type="pct"/>
            <w:vMerge/>
            <w:vAlign w:val="center"/>
          </w:tcPr>
          <w:p w14:paraId="57B612BB" w14:textId="77777777" w:rsidR="00B52C38" w:rsidRPr="00837407" w:rsidRDefault="00B52C38" w:rsidP="00B32EF2">
            <w:pPr>
              <w:jc w:val="center"/>
              <w:rPr>
                <w:rFonts w:ascii="Arial" w:hAnsi="Arial" w:cs="Arial"/>
              </w:rPr>
            </w:pPr>
          </w:p>
        </w:tc>
      </w:tr>
      <w:tr w:rsidR="009A3DA2" w:rsidRPr="00837407" w14:paraId="282AF390" w14:textId="77777777" w:rsidTr="00C137EC">
        <w:trPr>
          <w:trHeight w:val="523"/>
        </w:trPr>
        <w:tc>
          <w:tcPr>
            <w:tcW w:w="1560" w:type="pct"/>
            <w:vMerge/>
          </w:tcPr>
          <w:p w14:paraId="45A89112" w14:textId="77777777" w:rsidR="009A3DA2" w:rsidRPr="00837407" w:rsidRDefault="009A3DA2" w:rsidP="00B52C38">
            <w:pPr>
              <w:rPr>
                <w:rFonts w:ascii="Arial" w:hAnsi="Arial" w:cs="Arial"/>
                <w:color w:val="000000"/>
              </w:rPr>
            </w:pPr>
          </w:p>
        </w:tc>
        <w:tc>
          <w:tcPr>
            <w:tcW w:w="1329" w:type="pct"/>
            <w:vAlign w:val="center"/>
          </w:tcPr>
          <w:p w14:paraId="6ED23388" w14:textId="77777777" w:rsidR="009A3DA2" w:rsidRPr="00937EFF" w:rsidRDefault="009A3DA2" w:rsidP="00B32EF2">
            <w:pPr>
              <w:rPr>
                <w:rFonts w:ascii="Arial" w:hAnsi="Arial" w:cs="Arial"/>
                <w:b/>
                <w:color w:val="000000"/>
              </w:rPr>
            </w:pPr>
            <w:r w:rsidRPr="00937EFF">
              <w:rPr>
                <w:rFonts w:ascii="Arial" w:hAnsi="Arial" w:cs="Arial"/>
                <w:b/>
                <w:color w:val="000000"/>
              </w:rPr>
              <w:t>CCTV</w:t>
            </w:r>
          </w:p>
        </w:tc>
        <w:tc>
          <w:tcPr>
            <w:tcW w:w="2111" w:type="pct"/>
            <w:vMerge w:val="restart"/>
            <w:vAlign w:val="center"/>
          </w:tcPr>
          <w:p w14:paraId="110FDA00" w14:textId="77777777" w:rsidR="009A3DA2" w:rsidRPr="00837407" w:rsidRDefault="009A3DA2" w:rsidP="007C27CC">
            <w:pPr>
              <w:jc w:val="center"/>
              <w:rPr>
                <w:rFonts w:ascii="Arial" w:hAnsi="Arial" w:cs="Arial"/>
                <w:i/>
                <w:color w:val="FF0000"/>
              </w:rPr>
            </w:pPr>
            <w:r>
              <w:rPr>
                <w:rFonts w:ascii="Arial" w:hAnsi="Arial" w:cs="Arial"/>
                <w:color w:val="000000"/>
              </w:rPr>
              <w:t>Please write to NIJAC to request this information</w:t>
            </w:r>
            <w:r w:rsidR="007C27CC">
              <w:rPr>
                <w:rFonts w:ascii="Arial" w:hAnsi="Arial" w:cs="Arial"/>
                <w:color w:val="000000"/>
              </w:rPr>
              <w:t>.</w:t>
            </w:r>
            <w:r>
              <w:rPr>
                <w:rFonts w:ascii="Arial" w:hAnsi="Arial" w:cs="Arial"/>
                <w:color w:val="000000"/>
              </w:rPr>
              <w:t xml:space="preserve"> </w:t>
            </w:r>
          </w:p>
        </w:tc>
      </w:tr>
      <w:tr w:rsidR="009A3DA2" w:rsidRPr="00837407" w14:paraId="680BE6AB" w14:textId="77777777" w:rsidTr="00C137EC">
        <w:trPr>
          <w:trHeight w:val="559"/>
        </w:trPr>
        <w:tc>
          <w:tcPr>
            <w:tcW w:w="1560" w:type="pct"/>
            <w:vMerge/>
          </w:tcPr>
          <w:p w14:paraId="12CEB2AF" w14:textId="77777777" w:rsidR="009A3DA2" w:rsidRPr="00837407" w:rsidRDefault="009A3DA2" w:rsidP="00B52C38">
            <w:pPr>
              <w:rPr>
                <w:rFonts w:ascii="Arial" w:hAnsi="Arial" w:cs="Arial"/>
                <w:color w:val="000000"/>
              </w:rPr>
            </w:pPr>
          </w:p>
        </w:tc>
        <w:tc>
          <w:tcPr>
            <w:tcW w:w="1329" w:type="pct"/>
            <w:vAlign w:val="center"/>
          </w:tcPr>
          <w:p w14:paraId="1EA98F1C" w14:textId="77777777" w:rsidR="009A3DA2" w:rsidRPr="00937EFF" w:rsidRDefault="009A3DA2" w:rsidP="00B32EF2">
            <w:pPr>
              <w:rPr>
                <w:rFonts w:ascii="Arial" w:hAnsi="Arial" w:cs="Arial"/>
                <w:b/>
                <w:color w:val="000000"/>
              </w:rPr>
            </w:pPr>
            <w:r w:rsidRPr="00937EFF">
              <w:rPr>
                <w:rFonts w:ascii="Arial" w:hAnsi="Arial" w:cs="Arial"/>
                <w:b/>
                <w:color w:val="000000"/>
              </w:rPr>
              <w:t>Disclosure logs</w:t>
            </w:r>
          </w:p>
        </w:tc>
        <w:tc>
          <w:tcPr>
            <w:tcW w:w="2111" w:type="pct"/>
            <w:vMerge/>
            <w:vAlign w:val="center"/>
          </w:tcPr>
          <w:p w14:paraId="69E3ED1A" w14:textId="77777777" w:rsidR="009A3DA2" w:rsidRPr="00837407" w:rsidRDefault="009A3DA2" w:rsidP="009A3DA2">
            <w:pPr>
              <w:jc w:val="center"/>
              <w:rPr>
                <w:rFonts w:ascii="Arial" w:hAnsi="Arial" w:cs="Arial"/>
              </w:rPr>
            </w:pPr>
          </w:p>
        </w:tc>
      </w:tr>
      <w:tr w:rsidR="009A3DA2" w:rsidRPr="00837407" w14:paraId="5446C824" w14:textId="77777777" w:rsidTr="00C137EC">
        <w:trPr>
          <w:trHeight w:val="1800"/>
        </w:trPr>
        <w:tc>
          <w:tcPr>
            <w:tcW w:w="1560" w:type="pct"/>
            <w:vMerge/>
          </w:tcPr>
          <w:p w14:paraId="2B9D215D" w14:textId="77777777" w:rsidR="009A3DA2" w:rsidRPr="00837407" w:rsidRDefault="009A3DA2" w:rsidP="00B52C38">
            <w:pPr>
              <w:rPr>
                <w:rFonts w:ascii="Arial" w:hAnsi="Arial" w:cs="Arial"/>
                <w:color w:val="000000"/>
              </w:rPr>
            </w:pPr>
          </w:p>
        </w:tc>
        <w:tc>
          <w:tcPr>
            <w:tcW w:w="1329" w:type="pct"/>
            <w:vAlign w:val="center"/>
          </w:tcPr>
          <w:p w14:paraId="4615AE33" w14:textId="77777777" w:rsidR="009A3DA2" w:rsidRPr="00837407" w:rsidRDefault="009A3DA2" w:rsidP="00B32EF2">
            <w:pPr>
              <w:rPr>
                <w:rFonts w:ascii="Arial" w:hAnsi="Arial" w:cs="Arial"/>
                <w:color w:val="000000"/>
              </w:rPr>
            </w:pPr>
            <w:r>
              <w:rPr>
                <w:rFonts w:ascii="Arial" w:hAnsi="Arial" w:cs="Arial"/>
                <w:color w:val="000000"/>
              </w:rPr>
              <w:t>Register of Gifts and hospitality provided to Board members and senior personnel.</w:t>
            </w:r>
          </w:p>
        </w:tc>
        <w:tc>
          <w:tcPr>
            <w:tcW w:w="2111" w:type="pct"/>
            <w:vMerge/>
            <w:vAlign w:val="center"/>
          </w:tcPr>
          <w:p w14:paraId="48C8A3F5" w14:textId="77777777" w:rsidR="009A3DA2" w:rsidRDefault="009A3DA2" w:rsidP="009A3DA2">
            <w:pPr>
              <w:jc w:val="center"/>
              <w:rPr>
                <w:rFonts w:ascii="Arial" w:hAnsi="Arial" w:cs="Arial"/>
                <w:color w:val="000000"/>
              </w:rPr>
            </w:pPr>
          </w:p>
        </w:tc>
      </w:tr>
      <w:tr w:rsidR="009A3DA2" w:rsidRPr="00837407" w14:paraId="2A08BB85" w14:textId="77777777" w:rsidTr="00C137EC">
        <w:trPr>
          <w:trHeight w:val="1103"/>
        </w:trPr>
        <w:tc>
          <w:tcPr>
            <w:tcW w:w="1560" w:type="pct"/>
            <w:vMerge/>
          </w:tcPr>
          <w:p w14:paraId="3A78FAA0" w14:textId="77777777" w:rsidR="009A3DA2" w:rsidRPr="00837407" w:rsidRDefault="009A3DA2" w:rsidP="00B52C38">
            <w:pPr>
              <w:rPr>
                <w:rFonts w:ascii="Arial" w:hAnsi="Arial" w:cs="Arial"/>
                <w:color w:val="000000"/>
              </w:rPr>
            </w:pPr>
          </w:p>
        </w:tc>
        <w:tc>
          <w:tcPr>
            <w:tcW w:w="1329" w:type="pct"/>
            <w:vAlign w:val="center"/>
          </w:tcPr>
          <w:p w14:paraId="4E339508" w14:textId="77777777" w:rsidR="009A3DA2" w:rsidRPr="00837407" w:rsidRDefault="009A3DA2" w:rsidP="00B32EF2">
            <w:pPr>
              <w:rPr>
                <w:rFonts w:ascii="Arial" w:hAnsi="Arial" w:cs="Arial"/>
                <w:color w:val="000000"/>
              </w:rPr>
            </w:pPr>
            <w:r>
              <w:rPr>
                <w:rFonts w:ascii="Arial" w:hAnsi="Arial" w:cs="Arial"/>
                <w:color w:val="000000"/>
              </w:rPr>
              <w:t>Any register of interests kept in the organisation</w:t>
            </w:r>
          </w:p>
        </w:tc>
        <w:tc>
          <w:tcPr>
            <w:tcW w:w="2111" w:type="pct"/>
            <w:vMerge/>
            <w:vAlign w:val="center"/>
          </w:tcPr>
          <w:p w14:paraId="2BE923A2" w14:textId="77777777" w:rsidR="009A3DA2" w:rsidRDefault="009A3DA2" w:rsidP="009A3DA2">
            <w:pPr>
              <w:jc w:val="center"/>
              <w:rPr>
                <w:rFonts w:ascii="Arial" w:hAnsi="Arial" w:cs="Arial"/>
                <w:color w:val="000000"/>
              </w:rPr>
            </w:pPr>
          </w:p>
        </w:tc>
      </w:tr>
      <w:tr w:rsidR="009A3DA2" w:rsidRPr="00837407" w14:paraId="2AB84A76" w14:textId="77777777" w:rsidTr="00C137EC">
        <w:trPr>
          <w:trHeight w:val="822"/>
        </w:trPr>
        <w:tc>
          <w:tcPr>
            <w:tcW w:w="1560" w:type="pct"/>
            <w:vMerge/>
          </w:tcPr>
          <w:p w14:paraId="2C0EA39A" w14:textId="77777777" w:rsidR="009A3DA2" w:rsidRPr="00837407" w:rsidRDefault="009A3DA2" w:rsidP="00B52C38">
            <w:pPr>
              <w:rPr>
                <w:rFonts w:ascii="Arial" w:hAnsi="Arial" w:cs="Arial"/>
                <w:color w:val="000000"/>
              </w:rPr>
            </w:pPr>
          </w:p>
        </w:tc>
        <w:tc>
          <w:tcPr>
            <w:tcW w:w="1329" w:type="pct"/>
            <w:vAlign w:val="center"/>
          </w:tcPr>
          <w:p w14:paraId="48A70CF5" w14:textId="77777777" w:rsidR="009A3DA2" w:rsidRPr="00937EFF" w:rsidRDefault="009A3DA2" w:rsidP="00B32EF2">
            <w:pPr>
              <w:rPr>
                <w:rFonts w:ascii="Arial" w:hAnsi="Arial" w:cs="Arial"/>
                <w:b/>
                <w:color w:val="000000"/>
              </w:rPr>
            </w:pPr>
            <w:r w:rsidRPr="00937EFF">
              <w:rPr>
                <w:rFonts w:ascii="Arial" w:hAnsi="Arial" w:cs="Arial"/>
                <w:b/>
                <w:color w:val="000000"/>
              </w:rPr>
              <w:t>Other lists required by law</w:t>
            </w:r>
          </w:p>
        </w:tc>
        <w:tc>
          <w:tcPr>
            <w:tcW w:w="2111" w:type="pct"/>
            <w:vMerge/>
          </w:tcPr>
          <w:p w14:paraId="4BA8EDD1" w14:textId="77777777" w:rsidR="009A3DA2" w:rsidRPr="00837407" w:rsidRDefault="009A3DA2" w:rsidP="00B52C38">
            <w:pPr>
              <w:rPr>
                <w:rFonts w:ascii="Arial" w:hAnsi="Arial" w:cs="Arial"/>
                <w:color w:val="000000"/>
              </w:rPr>
            </w:pPr>
          </w:p>
        </w:tc>
      </w:tr>
    </w:tbl>
    <w:p w14:paraId="7B0D5B0B" w14:textId="77777777" w:rsidR="00B52C38" w:rsidRDefault="00B52C38" w:rsidP="00B52C3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84"/>
        <w:gridCol w:w="2201"/>
        <w:gridCol w:w="3497"/>
      </w:tblGrid>
      <w:tr w:rsidR="00B52C38" w:rsidRPr="00837407" w14:paraId="2A4DD53D" w14:textId="77777777" w:rsidTr="00CF709A">
        <w:tc>
          <w:tcPr>
            <w:tcW w:w="1560" w:type="pct"/>
            <w:shd w:val="clear" w:color="auto" w:fill="BDD6EE" w:themeFill="accent1" w:themeFillTint="66"/>
            <w:vAlign w:val="center"/>
          </w:tcPr>
          <w:p w14:paraId="4A6AAE74" w14:textId="77777777" w:rsidR="00B52C38" w:rsidRPr="00902CDC" w:rsidRDefault="00B52C38" w:rsidP="00B52C38">
            <w:pPr>
              <w:jc w:val="center"/>
              <w:rPr>
                <w:rFonts w:ascii="Arial" w:hAnsi="Arial" w:cs="Arial"/>
                <w:b/>
                <w:color w:val="000000"/>
                <w:sz w:val="28"/>
                <w:szCs w:val="28"/>
              </w:rPr>
            </w:pPr>
            <w:r w:rsidRPr="00AB0013">
              <w:rPr>
                <w:rFonts w:ascii="Arial" w:hAnsi="Arial" w:cs="Arial"/>
                <w:b/>
                <w:color w:val="000000"/>
                <w:sz w:val="28"/>
                <w:szCs w:val="28"/>
              </w:rPr>
              <w:lastRenderedPageBreak/>
              <w:t>Class of Information</w:t>
            </w:r>
          </w:p>
        </w:tc>
        <w:tc>
          <w:tcPr>
            <w:tcW w:w="1329" w:type="pct"/>
            <w:shd w:val="clear" w:color="auto" w:fill="BDD6EE" w:themeFill="accent1" w:themeFillTint="66"/>
            <w:vAlign w:val="center"/>
          </w:tcPr>
          <w:p w14:paraId="79B382E9" w14:textId="77777777" w:rsidR="00B52C38" w:rsidRPr="00837407" w:rsidRDefault="00B52C38" w:rsidP="00B52C38">
            <w:pPr>
              <w:jc w:val="center"/>
              <w:rPr>
                <w:rFonts w:ascii="Arial" w:hAnsi="Arial" w:cs="Arial"/>
                <w:color w:val="000000"/>
              </w:rPr>
            </w:pPr>
            <w:r w:rsidRPr="00AB0013">
              <w:rPr>
                <w:rFonts w:ascii="Arial" w:hAnsi="Arial" w:cs="Arial"/>
                <w:b/>
                <w:color w:val="000000"/>
                <w:sz w:val="28"/>
                <w:szCs w:val="28"/>
              </w:rPr>
              <w:t>Description</w:t>
            </w:r>
          </w:p>
        </w:tc>
        <w:tc>
          <w:tcPr>
            <w:tcW w:w="2111" w:type="pct"/>
            <w:shd w:val="clear" w:color="auto" w:fill="BDD6EE" w:themeFill="accent1" w:themeFillTint="66"/>
            <w:vAlign w:val="center"/>
          </w:tcPr>
          <w:p w14:paraId="76B21EA0" w14:textId="77777777" w:rsidR="00B52C38" w:rsidRDefault="00B52C38" w:rsidP="00B52C38">
            <w:pPr>
              <w:jc w:val="center"/>
              <w:rPr>
                <w:rFonts w:ascii="Arial" w:hAnsi="Arial" w:cs="Arial"/>
                <w:color w:val="000000"/>
              </w:rPr>
            </w:pPr>
            <w:r w:rsidRPr="00AB0013">
              <w:rPr>
                <w:rFonts w:ascii="Arial" w:hAnsi="Arial" w:cs="Arial"/>
                <w:b/>
                <w:color w:val="000000"/>
                <w:sz w:val="28"/>
                <w:szCs w:val="28"/>
              </w:rPr>
              <w:t>Available from</w:t>
            </w:r>
          </w:p>
        </w:tc>
      </w:tr>
      <w:tr w:rsidR="009A3DA2" w:rsidRPr="00837407" w14:paraId="41FA0CDE" w14:textId="77777777" w:rsidTr="00C137EC">
        <w:trPr>
          <w:trHeight w:val="657"/>
        </w:trPr>
        <w:tc>
          <w:tcPr>
            <w:tcW w:w="1560" w:type="pct"/>
            <w:vMerge w:val="restart"/>
            <w:vAlign w:val="center"/>
          </w:tcPr>
          <w:p w14:paraId="06FA5B68" w14:textId="77777777" w:rsidR="009A3DA2" w:rsidRPr="008C6B98" w:rsidRDefault="009A3DA2" w:rsidP="00B52C38">
            <w:pPr>
              <w:jc w:val="center"/>
              <w:rPr>
                <w:rFonts w:ascii="Arial" w:hAnsi="Arial" w:cs="Arial"/>
                <w:b/>
                <w:color w:val="000000"/>
                <w:sz w:val="28"/>
                <w:szCs w:val="28"/>
              </w:rPr>
            </w:pPr>
            <w:r w:rsidRPr="00902CDC">
              <w:rPr>
                <w:rFonts w:ascii="Arial" w:hAnsi="Arial" w:cs="Arial"/>
                <w:b/>
                <w:color w:val="000000"/>
                <w:sz w:val="28"/>
                <w:szCs w:val="28"/>
              </w:rPr>
              <w:t>The services we offer</w:t>
            </w:r>
          </w:p>
        </w:tc>
        <w:tc>
          <w:tcPr>
            <w:tcW w:w="1329" w:type="pct"/>
            <w:vAlign w:val="center"/>
          </w:tcPr>
          <w:p w14:paraId="4D915AE1" w14:textId="77777777" w:rsidR="009A3DA2" w:rsidRPr="00937EFF" w:rsidRDefault="009A3DA2" w:rsidP="00C137EC">
            <w:pPr>
              <w:rPr>
                <w:rFonts w:ascii="Arial" w:hAnsi="Arial" w:cs="Arial"/>
                <w:b/>
                <w:color w:val="000000"/>
              </w:rPr>
            </w:pPr>
            <w:r w:rsidRPr="00937EFF">
              <w:rPr>
                <w:rFonts w:ascii="Arial" w:hAnsi="Arial" w:cs="Arial"/>
                <w:b/>
                <w:color w:val="000000"/>
              </w:rPr>
              <w:t>Regulatory responsibilities</w:t>
            </w:r>
          </w:p>
        </w:tc>
        <w:tc>
          <w:tcPr>
            <w:tcW w:w="2111" w:type="pct"/>
            <w:vMerge w:val="restart"/>
            <w:vAlign w:val="center"/>
          </w:tcPr>
          <w:p w14:paraId="5C58491F" w14:textId="77777777" w:rsidR="009A3DA2" w:rsidRPr="00837407" w:rsidRDefault="009A3DA2" w:rsidP="009A3DA2">
            <w:pPr>
              <w:jc w:val="center"/>
              <w:rPr>
                <w:rFonts w:ascii="Arial" w:hAnsi="Arial" w:cs="Arial"/>
                <w:color w:val="000000"/>
              </w:rPr>
            </w:pPr>
            <w:r>
              <w:rPr>
                <w:rFonts w:ascii="Arial" w:hAnsi="Arial" w:cs="Arial"/>
                <w:color w:val="000000"/>
              </w:rPr>
              <w:t xml:space="preserve">Available at </w:t>
            </w:r>
            <w:hyperlink r:id="rId27" w:history="1">
              <w:r w:rsidRPr="00026C75">
                <w:rPr>
                  <w:rStyle w:val="Hyperlink"/>
                  <w:rFonts w:ascii="Arial" w:hAnsi="Arial" w:cs="Arial"/>
                </w:rPr>
                <w:t>www.nijac.gov.uk</w:t>
              </w:r>
            </w:hyperlink>
            <w:r>
              <w:rPr>
                <w:rFonts w:ascii="Arial" w:hAnsi="Arial" w:cs="Arial"/>
                <w:color w:val="000000"/>
              </w:rPr>
              <w:t xml:space="preserve"> under ‘Publications’ in our Annual Report &amp; Accounts, Business Plan and in our Corporate Plan</w:t>
            </w:r>
          </w:p>
        </w:tc>
      </w:tr>
      <w:tr w:rsidR="009A3DA2" w:rsidRPr="00837407" w14:paraId="1CDA8C19" w14:textId="77777777" w:rsidTr="00C137EC">
        <w:trPr>
          <w:trHeight w:val="636"/>
        </w:trPr>
        <w:tc>
          <w:tcPr>
            <w:tcW w:w="1560" w:type="pct"/>
            <w:vMerge/>
          </w:tcPr>
          <w:p w14:paraId="30CC7BFD" w14:textId="77777777" w:rsidR="009A3DA2" w:rsidRPr="00837407" w:rsidRDefault="009A3DA2" w:rsidP="00B52C38">
            <w:pPr>
              <w:rPr>
                <w:rFonts w:ascii="Arial" w:hAnsi="Arial" w:cs="Arial"/>
                <w:color w:val="000000"/>
              </w:rPr>
            </w:pPr>
          </w:p>
        </w:tc>
        <w:tc>
          <w:tcPr>
            <w:tcW w:w="1329" w:type="pct"/>
            <w:vAlign w:val="center"/>
          </w:tcPr>
          <w:p w14:paraId="2FBD5C7F" w14:textId="77777777" w:rsidR="009A3DA2" w:rsidRPr="00937EFF" w:rsidRDefault="009A3DA2" w:rsidP="00C137EC">
            <w:pPr>
              <w:rPr>
                <w:rFonts w:ascii="Arial" w:hAnsi="Arial" w:cs="Arial"/>
                <w:b/>
                <w:color w:val="000000"/>
              </w:rPr>
            </w:pPr>
            <w:r w:rsidRPr="00937EFF">
              <w:rPr>
                <w:rFonts w:ascii="Arial" w:hAnsi="Arial" w:cs="Arial"/>
                <w:b/>
                <w:color w:val="000000"/>
              </w:rPr>
              <w:t>Services for public authorities</w:t>
            </w:r>
          </w:p>
        </w:tc>
        <w:tc>
          <w:tcPr>
            <w:tcW w:w="2111" w:type="pct"/>
            <w:vMerge/>
            <w:vAlign w:val="center"/>
          </w:tcPr>
          <w:p w14:paraId="0E9247D6" w14:textId="77777777" w:rsidR="009A3DA2" w:rsidRPr="00837407" w:rsidRDefault="009A3DA2" w:rsidP="009A3DA2">
            <w:pPr>
              <w:jc w:val="center"/>
              <w:rPr>
                <w:rFonts w:ascii="Arial" w:hAnsi="Arial" w:cs="Arial"/>
                <w:color w:val="000000"/>
              </w:rPr>
            </w:pPr>
          </w:p>
        </w:tc>
      </w:tr>
      <w:tr w:rsidR="009A3DA2" w:rsidRPr="00837407" w14:paraId="153C4F20" w14:textId="77777777" w:rsidTr="00C137EC">
        <w:trPr>
          <w:trHeight w:val="758"/>
        </w:trPr>
        <w:tc>
          <w:tcPr>
            <w:tcW w:w="1560" w:type="pct"/>
            <w:vMerge/>
          </w:tcPr>
          <w:p w14:paraId="073D6D22" w14:textId="77777777" w:rsidR="009A3DA2" w:rsidRPr="00837407" w:rsidRDefault="009A3DA2" w:rsidP="00B52C38">
            <w:pPr>
              <w:rPr>
                <w:rFonts w:ascii="Arial" w:hAnsi="Arial" w:cs="Arial"/>
                <w:color w:val="000000"/>
              </w:rPr>
            </w:pPr>
          </w:p>
        </w:tc>
        <w:tc>
          <w:tcPr>
            <w:tcW w:w="1329" w:type="pct"/>
            <w:vAlign w:val="center"/>
          </w:tcPr>
          <w:p w14:paraId="5A9060DB" w14:textId="77777777" w:rsidR="009A3DA2" w:rsidRPr="00937EFF" w:rsidRDefault="009A3DA2" w:rsidP="00C137EC">
            <w:pPr>
              <w:rPr>
                <w:rFonts w:ascii="Arial" w:hAnsi="Arial" w:cs="Arial"/>
                <w:b/>
                <w:color w:val="000000"/>
              </w:rPr>
            </w:pPr>
            <w:r w:rsidRPr="00937EFF">
              <w:rPr>
                <w:rFonts w:ascii="Arial" w:hAnsi="Arial" w:cs="Arial"/>
                <w:b/>
                <w:color w:val="000000"/>
              </w:rPr>
              <w:t>Services for industry</w:t>
            </w:r>
          </w:p>
        </w:tc>
        <w:tc>
          <w:tcPr>
            <w:tcW w:w="2111" w:type="pct"/>
            <w:vMerge/>
            <w:vAlign w:val="center"/>
          </w:tcPr>
          <w:p w14:paraId="6FE0918A" w14:textId="77777777" w:rsidR="009A3DA2" w:rsidRPr="00837407" w:rsidRDefault="009A3DA2" w:rsidP="009A3DA2">
            <w:pPr>
              <w:jc w:val="center"/>
              <w:rPr>
                <w:rFonts w:ascii="Arial" w:hAnsi="Arial" w:cs="Arial"/>
                <w:color w:val="000000"/>
              </w:rPr>
            </w:pPr>
          </w:p>
        </w:tc>
      </w:tr>
      <w:tr w:rsidR="009A3DA2" w:rsidRPr="00837407" w14:paraId="2CB158C4" w14:textId="77777777" w:rsidTr="00C137EC">
        <w:trPr>
          <w:trHeight w:val="610"/>
        </w:trPr>
        <w:tc>
          <w:tcPr>
            <w:tcW w:w="1560" w:type="pct"/>
            <w:vMerge/>
          </w:tcPr>
          <w:p w14:paraId="45B438FE" w14:textId="77777777" w:rsidR="009A3DA2" w:rsidRPr="00837407" w:rsidRDefault="009A3DA2" w:rsidP="00B52C38">
            <w:pPr>
              <w:rPr>
                <w:rFonts w:ascii="Arial" w:hAnsi="Arial" w:cs="Arial"/>
                <w:color w:val="000000"/>
              </w:rPr>
            </w:pPr>
          </w:p>
        </w:tc>
        <w:tc>
          <w:tcPr>
            <w:tcW w:w="1329" w:type="pct"/>
            <w:vAlign w:val="center"/>
          </w:tcPr>
          <w:p w14:paraId="2DFB5538" w14:textId="77777777" w:rsidR="009A3DA2" w:rsidRPr="00937EFF" w:rsidRDefault="009A3DA2" w:rsidP="00C137EC">
            <w:pPr>
              <w:rPr>
                <w:rFonts w:ascii="Arial" w:hAnsi="Arial" w:cs="Arial"/>
                <w:b/>
                <w:color w:val="000000"/>
              </w:rPr>
            </w:pPr>
            <w:r w:rsidRPr="00937EFF">
              <w:rPr>
                <w:rFonts w:ascii="Arial" w:hAnsi="Arial" w:cs="Arial"/>
                <w:b/>
                <w:color w:val="000000"/>
              </w:rPr>
              <w:t>Services for other organisations</w:t>
            </w:r>
          </w:p>
        </w:tc>
        <w:tc>
          <w:tcPr>
            <w:tcW w:w="2111" w:type="pct"/>
            <w:vMerge/>
            <w:vAlign w:val="center"/>
          </w:tcPr>
          <w:p w14:paraId="1E01233B" w14:textId="77777777" w:rsidR="009A3DA2" w:rsidRPr="00837407" w:rsidRDefault="009A3DA2" w:rsidP="009A3DA2">
            <w:pPr>
              <w:jc w:val="center"/>
              <w:rPr>
                <w:rFonts w:ascii="Arial" w:hAnsi="Arial" w:cs="Arial"/>
                <w:color w:val="000000"/>
              </w:rPr>
            </w:pPr>
          </w:p>
        </w:tc>
      </w:tr>
      <w:tr w:rsidR="009A3DA2" w:rsidRPr="00837407" w14:paraId="5DD07476" w14:textId="77777777" w:rsidTr="00C137EC">
        <w:trPr>
          <w:trHeight w:val="1015"/>
        </w:trPr>
        <w:tc>
          <w:tcPr>
            <w:tcW w:w="1560" w:type="pct"/>
            <w:vMerge/>
          </w:tcPr>
          <w:p w14:paraId="2AA711E0" w14:textId="77777777" w:rsidR="009A3DA2" w:rsidRPr="00837407" w:rsidRDefault="009A3DA2" w:rsidP="00B52C38">
            <w:pPr>
              <w:rPr>
                <w:rFonts w:ascii="Arial" w:hAnsi="Arial" w:cs="Arial"/>
                <w:color w:val="000000"/>
              </w:rPr>
            </w:pPr>
          </w:p>
        </w:tc>
        <w:tc>
          <w:tcPr>
            <w:tcW w:w="1329" w:type="pct"/>
            <w:vAlign w:val="center"/>
          </w:tcPr>
          <w:p w14:paraId="66657A77" w14:textId="77777777" w:rsidR="009A3DA2" w:rsidRPr="00937EFF" w:rsidRDefault="009A3DA2" w:rsidP="00C137EC">
            <w:pPr>
              <w:rPr>
                <w:rFonts w:ascii="Arial" w:hAnsi="Arial" w:cs="Arial"/>
                <w:b/>
                <w:color w:val="000000"/>
              </w:rPr>
            </w:pPr>
            <w:r w:rsidRPr="00937EFF">
              <w:rPr>
                <w:rFonts w:ascii="Arial" w:hAnsi="Arial" w:cs="Arial"/>
                <w:b/>
                <w:color w:val="000000"/>
              </w:rPr>
              <w:t>Services for members of the public</w:t>
            </w:r>
          </w:p>
        </w:tc>
        <w:tc>
          <w:tcPr>
            <w:tcW w:w="2111" w:type="pct"/>
            <w:vMerge/>
            <w:vAlign w:val="center"/>
          </w:tcPr>
          <w:p w14:paraId="5E181AFE" w14:textId="77777777" w:rsidR="009A3DA2" w:rsidRPr="00837407" w:rsidRDefault="009A3DA2" w:rsidP="009A3DA2">
            <w:pPr>
              <w:jc w:val="center"/>
              <w:rPr>
                <w:rFonts w:ascii="Arial" w:hAnsi="Arial" w:cs="Arial"/>
                <w:color w:val="000000"/>
              </w:rPr>
            </w:pPr>
          </w:p>
        </w:tc>
      </w:tr>
      <w:tr w:rsidR="00B52C38" w:rsidRPr="00837407" w14:paraId="40D0984C" w14:textId="77777777" w:rsidTr="00C137EC">
        <w:trPr>
          <w:trHeight w:val="1930"/>
        </w:trPr>
        <w:tc>
          <w:tcPr>
            <w:tcW w:w="1560" w:type="pct"/>
            <w:vMerge/>
          </w:tcPr>
          <w:p w14:paraId="2110CC2E" w14:textId="77777777" w:rsidR="00B52C38" w:rsidRPr="00837407" w:rsidRDefault="00B52C38" w:rsidP="00B52C38">
            <w:pPr>
              <w:rPr>
                <w:rFonts w:ascii="Arial" w:hAnsi="Arial" w:cs="Arial"/>
                <w:color w:val="000000"/>
              </w:rPr>
            </w:pPr>
          </w:p>
        </w:tc>
        <w:tc>
          <w:tcPr>
            <w:tcW w:w="1329" w:type="pct"/>
            <w:vAlign w:val="center"/>
          </w:tcPr>
          <w:p w14:paraId="1C75B71D" w14:textId="77777777" w:rsidR="00B52C38" w:rsidRPr="00937EFF" w:rsidRDefault="00B52C38" w:rsidP="00C137EC">
            <w:pPr>
              <w:rPr>
                <w:rFonts w:ascii="Arial" w:hAnsi="Arial" w:cs="Arial"/>
                <w:b/>
                <w:color w:val="000000"/>
              </w:rPr>
            </w:pPr>
            <w:r w:rsidRPr="00937EFF">
              <w:rPr>
                <w:rFonts w:ascii="Arial" w:hAnsi="Arial" w:cs="Arial"/>
                <w:b/>
                <w:color w:val="000000"/>
              </w:rPr>
              <w:t>Services for which the NDPB is entitled to recover a fee together with those fees</w:t>
            </w:r>
          </w:p>
        </w:tc>
        <w:tc>
          <w:tcPr>
            <w:tcW w:w="2111" w:type="pct"/>
            <w:vAlign w:val="center"/>
          </w:tcPr>
          <w:p w14:paraId="6AFE8210" w14:textId="77777777" w:rsidR="00B52C38" w:rsidRPr="00837407" w:rsidRDefault="009A3DA2" w:rsidP="009A3DA2">
            <w:pPr>
              <w:jc w:val="center"/>
              <w:rPr>
                <w:rFonts w:ascii="Arial" w:hAnsi="Arial" w:cs="Arial"/>
                <w:color w:val="000000"/>
              </w:rPr>
            </w:pPr>
            <w:r>
              <w:rPr>
                <w:rFonts w:ascii="Arial" w:hAnsi="Arial" w:cs="Arial"/>
                <w:color w:val="000000"/>
              </w:rPr>
              <w:t>Please write to NIJAC to request this information (if available)</w:t>
            </w:r>
          </w:p>
        </w:tc>
      </w:tr>
      <w:tr w:rsidR="00B52C38" w:rsidRPr="00837407" w14:paraId="32D1E6F5" w14:textId="77777777" w:rsidTr="00C137EC">
        <w:trPr>
          <w:trHeight w:val="668"/>
        </w:trPr>
        <w:tc>
          <w:tcPr>
            <w:tcW w:w="1560" w:type="pct"/>
            <w:vMerge/>
          </w:tcPr>
          <w:p w14:paraId="1D6F7873" w14:textId="77777777" w:rsidR="00B52C38" w:rsidRPr="00837407" w:rsidRDefault="00B52C38" w:rsidP="00B52C38">
            <w:pPr>
              <w:rPr>
                <w:rFonts w:ascii="Arial" w:hAnsi="Arial" w:cs="Arial"/>
                <w:color w:val="000000"/>
              </w:rPr>
            </w:pPr>
          </w:p>
        </w:tc>
        <w:tc>
          <w:tcPr>
            <w:tcW w:w="1329" w:type="pct"/>
            <w:vAlign w:val="center"/>
          </w:tcPr>
          <w:p w14:paraId="586C8946" w14:textId="77777777" w:rsidR="00B52C38" w:rsidRPr="00837407" w:rsidRDefault="00B52C38" w:rsidP="00C137EC">
            <w:pPr>
              <w:rPr>
                <w:rFonts w:ascii="Arial" w:hAnsi="Arial" w:cs="Arial"/>
                <w:color w:val="000000"/>
              </w:rPr>
            </w:pPr>
            <w:r>
              <w:rPr>
                <w:rFonts w:ascii="Arial" w:hAnsi="Arial" w:cs="Arial"/>
                <w:color w:val="000000"/>
              </w:rPr>
              <w:t>Leaflets, booklets and newsletters</w:t>
            </w:r>
          </w:p>
        </w:tc>
        <w:tc>
          <w:tcPr>
            <w:tcW w:w="2111" w:type="pct"/>
            <w:vAlign w:val="center"/>
          </w:tcPr>
          <w:p w14:paraId="56DB36CB" w14:textId="77777777" w:rsidR="00B52C38" w:rsidRPr="00837407" w:rsidRDefault="00B52C38" w:rsidP="009A3DA2">
            <w:pPr>
              <w:jc w:val="center"/>
              <w:rPr>
                <w:rFonts w:ascii="Arial" w:hAnsi="Arial" w:cs="Arial"/>
                <w:color w:val="000000"/>
              </w:rPr>
            </w:pPr>
            <w:r>
              <w:rPr>
                <w:rFonts w:ascii="Arial" w:hAnsi="Arial" w:cs="Arial"/>
                <w:color w:val="000000"/>
              </w:rPr>
              <w:t xml:space="preserve">Available at </w:t>
            </w:r>
            <w:hyperlink r:id="rId28" w:history="1">
              <w:r w:rsidRPr="00026C75">
                <w:rPr>
                  <w:rStyle w:val="Hyperlink"/>
                  <w:rFonts w:ascii="Arial" w:hAnsi="Arial" w:cs="Arial"/>
                </w:rPr>
                <w:t>www.nijac.gov.uk</w:t>
              </w:r>
            </w:hyperlink>
            <w:r>
              <w:rPr>
                <w:rFonts w:ascii="Arial" w:hAnsi="Arial" w:cs="Arial"/>
                <w:color w:val="000000"/>
              </w:rPr>
              <w:t xml:space="preserve"> under ‘Publications’</w:t>
            </w:r>
          </w:p>
        </w:tc>
      </w:tr>
      <w:tr w:rsidR="00B52C38" w:rsidRPr="00837407" w14:paraId="084651C4" w14:textId="77777777" w:rsidTr="00C137EC">
        <w:trPr>
          <w:trHeight w:val="692"/>
        </w:trPr>
        <w:tc>
          <w:tcPr>
            <w:tcW w:w="1560" w:type="pct"/>
            <w:vMerge/>
          </w:tcPr>
          <w:p w14:paraId="39961D58" w14:textId="77777777" w:rsidR="00B52C38" w:rsidRPr="00837407" w:rsidRDefault="00B52C38" w:rsidP="00B52C38">
            <w:pPr>
              <w:rPr>
                <w:rFonts w:ascii="Arial" w:hAnsi="Arial" w:cs="Arial"/>
                <w:color w:val="000000"/>
              </w:rPr>
            </w:pPr>
          </w:p>
        </w:tc>
        <w:tc>
          <w:tcPr>
            <w:tcW w:w="1329" w:type="pct"/>
            <w:vAlign w:val="center"/>
          </w:tcPr>
          <w:p w14:paraId="4EF098BA" w14:textId="77777777" w:rsidR="00B52C38" w:rsidRPr="00937EFF" w:rsidRDefault="00B52C38" w:rsidP="00C137EC">
            <w:pPr>
              <w:rPr>
                <w:rFonts w:ascii="Arial" w:hAnsi="Arial" w:cs="Arial"/>
                <w:b/>
                <w:color w:val="000000"/>
              </w:rPr>
            </w:pPr>
            <w:r w:rsidRPr="00937EFF">
              <w:rPr>
                <w:rFonts w:ascii="Arial" w:hAnsi="Arial" w:cs="Arial"/>
                <w:b/>
                <w:color w:val="000000"/>
              </w:rPr>
              <w:t>Advice and guidance</w:t>
            </w:r>
          </w:p>
        </w:tc>
        <w:tc>
          <w:tcPr>
            <w:tcW w:w="2111" w:type="pct"/>
            <w:vAlign w:val="center"/>
          </w:tcPr>
          <w:p w14:paraId="7F1FF6A7" w14:textId="153412F2" w:rsidR="00B52C38" w:rsidRPr="00837407" w:rsidRDefault="00B52C38" w:rsidP="00C137EC">
            <w:pPr>
              <w:jc w:val="center"/>
              <w:rPr>
                <w:rFonts w:ascii="Arial" w:hAnsi="Arial" w:cs="Arial"/>
                <w:color w:val="000000"/>
              </w:rPr>
            </w:pPr>
            <w:r>
              <w:rPr>
                <w:rFonts w:ascii="Arial" w:hAnsi="Arial" w:cs="Arial"/>
                <w:color w:val="000000"/>
              </w:rPr>
              <w:t xml:space="preserve">Available at </w:t>
            </w:r>
            <w:hyperlink r:id="rId29" w:history="1">
              <w:r w:rsidRPr="00026C75">
                <w:rPr>
                  <w:rStyle w:val="Hyperlink"/>
                  <w:rFonts w:ascii="Arial" w:hAnsi="Arial" w:cs="Arial"/>
                </w:rPr>
                <w:t>www.nijac.gov.uk</w:t>
              </w:r>
            </w:hyperlink>
            <w:r>
              <w:rPr>
                <w:rFonts w:ascii="Arial" w:hAnsi="Arial" w:cs="Arial"/>
                <w:color w:val="000000"/>
              </w:rPr>
              <w:t xml:space="preserve"> under ‘</w:t>
            </w:r>
            <w:r w:rsidR="00E6492C">
              <w:rPr>
                <w:rFonts w:ascii="Arial" w:hAnsi="Arial" w:cs="Arial"/>
                <w:color w:val="000000"/>
              </w:rPr>
              <w:t>Completing your Application</w:t>
            </w:r>
            <w:r w:rsidR="0085412E">
              <w:rPr>
                <w:rFonts w:ascii="Arial" w:hAnsi="Arial" w:cs="Arial"/>
                <w:color w:val="000000"/>
              </w:rPr>
              <w:t>’</w:t>
            </w:r>
            <w:r w:rsidR="00C137EC">
              <w:rPr>
                <w:rFonts w:ascii="Arial" w:hAnsi="Arial" w:cs="Arial"/>
                <w:color w:val="000000"/>
              </w:rPr>
              <w:t xml:space="preserve"> in</w:t>
            </w:r>
            <w:r w:rsidR="0085412E">
              <w:rPr>
                <w:rFonts w:ascii="Arial" w:hAnsi="Arial" w:cs="Arial"/>
                <w:color w:val="000000"/>
              </w:rPr>
              <w:t xml:space="preserve"> the</w:t>
            </w:r>
            <w:r w:rsidR="00C137EC">
              <w:rPr>
                <w:rFonts w:ascii="Arial" w:hAnsi="Arial" w:cs="Arial"/>
                <w:color w:val="000000"/>
              </w:rPr>
              <w:t xml:space="preserve"> ‘</w:t>
            </w:r>
            <w:r w:rsidR="00E6492C">
              <w:rPr>
                <w:rFonts w:ascii="Arial" w:hAnsi="Arial" w:cs="Arial"/>
                <w:color w:val="000000"/>
              </w:rPr>
              <w:t>How to Apply</w:t>
            </w:r>
            <w:r w:rsidR="00C137EC">
              <w:rPr>
                <w:rFonts w:ascii="Arial" w:hAnsi="Arial" w:cs="Arial"/>
                <w:color w:val="000000"/>
              </w:rPr>
              <w:t>’</w:t>
            </w:r>
            <w:r w:rsidR="0085412E">
              <w:rPr>
                <w:rFonts w:ascii="Arial" w:hAnsi="Arial" w:cs="Arial"/>
                <w:color w:val="000000"/>
              </w:rPr>
              <w:t xml:space="preserve"> section</w:t>
            </w:r>
            <w:r w:rsidR="00C137EC">
              <w:rPr>
                <w:rFonts w:ascii="Arial" w:hAnsi="Arial" w:cs="Arial"/>
                <w:color w:val="000000"/>
              </w:rPr>
              <w:t>.</w:t>
            </w:r>
          </w:p>
        </w:tc>
      </w:tr>
      <w:tr w:rsidR="00B52C38" w:rsidRPr="00837407" w14:paraId="0D8BDAAA" w14:textId="77777777" w:rsidTr="00C137EC">
        <w:trPr>
          <w:trHeight w:val="674"/>
        </w:trPr>
        <w:tc>
          <w:tcPr>
            <w:tcW w:w="1560" w:type="pct"/>
            <w:vMerge/>
          </w:tcPr>
          <w:p w14:paraId="0CBB91AA" w14:textId="77777777" w:rsidR="00B52C38" w:rsidRPr="00837407" w:rsidRDefault="00B52C38" w:rsidP="00B52C38">
            <w:pPr>
              <w:rPr>
                <w:rFonts w:ascii="Arial" w:hAnsi="Arial" w:cs="Arial"/>
                <w:color w:val="000000"/>
              </w:rPr>
            </w:pPr>
          </w:p>
        </w:tc>
        <w:tc>
          <w:tcPr>
            <w:tcW w:w="1329" w:type="pct"/>
            <w:vAlign w:val="center"/>
          </w:tcPr>
          <w:p w14:paraId="12CFE8D9" w14:textId="77777777" w:rsidR="00B52C38" w:rsidRPr="00937EFF" w:rsidRDefault="00B52C38" w:rsidP="00C137EC">
            <w:pPr>
              <w:rPr>
                <w:rFonts w:ascii="Arial" w:hAnsi="Arial" w:cs="Arial"/>
                <w:b/>
                <w:color w:val="000000"/>
              </w:rPr>
            </w:pPr>
            <w:r w:rsidRPr="00937EFF">
              <w:rPr>
                <w:rFonts w:ascii="Arial" w:hAnsi="Arial" w:cs="Arial"/>
                <w:b/>
                <w:color w:val="000000"/>
              </w:rPr>
              <w:t>Media releases</w:t>
            </w:r>
          </w:p>
        </w:tc>
        <w:tc>
          <w:tcPr>
            <w:tcW w:w="2111" w:type="pct"/>
            <w:vAlign w:val="center"/>
          </w:tcPr>
          <w:p w14:paraId="4D248840" w14:textId="77777777" w:rsidR="00B52C38" w:rsidRPr="00837407" w:rsidRDefault="00B52C38" w:rsidP="009A3DA2">
            <w:pPr>
              <w:jc w:val="center"/>
              <w:rPr>
                <w:rFonts w:ascii="Arial" w:hAnsi="Arial" w:cs="Arial"/>
                <w:color w:val="000000"/>
              </w:rPr>
            </w:pPr>
            <w:r>
              <w:rPr>
                <w:rFonts w:ascii="Arial" w:hAnsi="Arial" w:cs="Arial"/>
                <w:color w:val="000000"/>
              </w:rPr>
              <w:t xml:space="preserve">Available at </w:t>
            </w:r>
            <w:hyperlink r:id="rId30" w:history="1">
              <w:r w:rsidRPr="00026C75">
                <w:rPr>
                  <w:rStyle w:val="Hyperlink"/>
                  <w:rFonts w:ascii="Arial" w:hAnsi="Arial" w:cs="Arial"/>
                </w:rPr>
                <w:t>www.nijac.gov.uk</w:t>
              </w:r>
            </w:hyperlink>
            <w:r>
              <w:rPr>
                <w:rFonts w:ascii="Arial" w:hAnsi="Arial" w:cs="Arial"/>
                <w:color w:val="000000"/>
              </w:rPr>
              <w:t xml:space="preserve"> under ‘News’.</w:t>
            </w:r>
          </w:p>
        </w:tc>
      </w:tr>
    </w:tbl>
    <w:p w14:paraId="49507650" w14:textId="77777777" w:rsidR="00B52C38" w:rsidRPr="00B0259D" w:rsidRDefault="00B52C38" w:rsidP="00B52C38">
      <w:pPr>
        <w:jc w:val="center"/>
        <w:rPr>
          <w:b/>
          <w:sz w:val="26"/>
          <w:szCs w:val="26"/>
        </w:rPr>
      </w:pPr>
    </w:p>
    <w:p w14:paraId="2ED7AAA3" w14:textId="77777777" w:rsidR="00AD72AF" w:rsidRPr="00837407" w:rsidRDefault="00AD72AF" w:rsidP="005D187B">
      <w:pPr>
        <w:rPr>
          <w:rFonts w:ascii="Arial" w:hAnsi="Arial" w:cs="Arial"/>
        </w:rPr>
      </w:pPr>
    </w:p>
    <w:sectPr w:rsidR="00AD72AF" w:rsidRPr="00837407" w:rsidSect="008B46FC">
      <w:headerReference w:type="default" r:id="rId31"/>
      <w:footerReference w:type="default" r:id="rId32"/>
      <w:footerReference w:type="first" r:id="rId33"/>
      <w:pgSz w:w="11906" w:h="16838"/>
      <w:pgMar w:top="899" w:right="1797" w:bottom="899"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59992" w14:textId="77777777" w:rsidR="00687DF0" w:rsidRDefault="00687DF0">
      <w:r>
        <w:separator/>
      </w:r>
    </w:p>
  </w:endnote>
  <w:endnote w:type="continuationSeparator" w:id="0">
    <w:p w14:paraId="2E867676" w14:textId="77777777" w:rsidR="00687DF0" w:rsidRDefault="0068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502167"/>
      <w:docPartObj>
        <w:docPartGallery w:val="Page Numbers (Bottom of Page)"/>
        <w:docPartUnique/>
      </w:docPartObj>
    </w:sdtPr>
    <w:sdtEndPr>
      <w:rPr>
        <w:rFonts w:ascii="Arial" w:hAnsi="Arial" w:cs="Arial"/>
        <w:noProof/>
      </w:rPr>
    </w:sdtEndPr>
    <w:sdtContent>
      <w:p w14:paraId="498A2577" w14:textId="10DD52FC" w:rsidR="00CD0C64" w:rsidRPr="003C6D6C" w:rsidRDefault="00CD0C64">
        <w:pPr>
          <w:pStyle w:val="Footer"/>
          <w:jc w:val="right"/>
          <w:rPr>
            <w:rFonts w:ascii="Arial" w:hAnsi="Arial" w:cs="Arial"/>
          </w:rPr>
        </w:pPr>
        <w:r w:rsidRPr="003C6D6C">
          <w:rPr>
            <w:rFonts w:ascii="Arial" w:hAnsi="Arial" w:cs="Arial"/>
          </w:rPr>
          <w:fldChar w:fldCharType="begin"/>
        </w:r>
        <w:r w:rsidRPr="003C6D6C">
          <w:rPr>
            <w:rFonts w:ascii="Arial" w:hAnsi="Arial" w:cs="Arial"/>
          </w:rPr>
          <w:instrText xml:space="preserve"> PAGE   \* MERGEFORMAT </w:instrText>
        </w:r>
        <w:r w:rsidRPr="003C6D6C">
          <w:rPr>
            <w:rFonts w:ascii="Arial" w:hAnsi="Arial" w:cs="Arial"/>
          </w:rPr>
          <w:fldChar w:fldCharType="separate"/>
        </w:r>
        <w:r w:rsidRPr="003C6D6C">
          <w:rPr>
            <w:rFonts w:ascii="Arial" w:hAnsi="Arial" w:cs="Arial"/>
            <w:noProof/>
          </w:rPr>
          <w:t>2</w:t>
        </w:r>
        <w:r w:rsidRPr="003C6D6C">
          <w:rPr>
            <w:rFonts w:ascii="Arial" w:hAnsi="Arial" w:cs="Arial"/>
            <w:noProof/>
          </w:rPr>
          <w:fldChar w:fldCharType="end"/>
        </w:r>
      </w:p>
    </w:sdtContent>
  </w:sdt>
  <w:p w14:paraId="18A898D0" w14:textId="77777777" w:rsidR="00680F93" w:rsidRPr="00CD0C64" w:rsidRDefault="00680F93">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C78E7" w14:textId="1F28DE1E" w:rsidR="00CD0C64" w:rsidRDefault="00CD0C64">
    <w:pPr>
      <w:pStyle w:val="Footer"/>
      <w:jc w:val="right"/>
    </w:pPr>
  </w:p>
  <w:p w14:paraId="1F3B37E8" w14:textId="77777777" w:rsidR="00CD0C64" w:rsidRDefault="00CD0C64" w:rsidP="00CD0C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1E2D1" w14:textId="77777777" w:rsidR="00687DF0" w:rsidRDefault="00687DF0">
      <w:r>
        <w:separator/>
      </w:r>
    </w:p>
  </w:footnote>
  <w:footnote w:type="continuationSeparator" w:id="0">
    <w:p w14:paraId="656129F7" w14:textId="77777777" w:rsidR="00687DF0" w:rsidRDefault="0068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72B" w14:textId="77777777" w:rsidR="00680F93" w:rsidRPr="00680F93" w:rsidRDefault="00680F93" w:rsidP="00680F93">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307"/>
    <w:multiLevelType w:val="multilevel"/>
    <w:tmpl w:val="78FCE2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F9308C"/>
    <w:multiLevelType w:val="multilevel"/>
    <w:tmpl w:val="09E608B2"/>
    <w:lvl w:ilvl="0">
      <w:start w:val="4"/>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4560EEE"/>
    <w:multiLevelType w:val="hybridMultilevel"/>
    <w:tmpl w:val="C53E5FF8"/>
    <w:lvl w:ilvl="0" w:tplc="08090005">
      <w:start w:val="1"/>
      <w:numFmt w:val="bullet"/>
      <w:lvlText w:val=""/>
      <w:lvlJc w:val="left"/>
      <w:pPr>
        <w:tabs>
          <w:tab w:val="num" w:pos="765"/>
        </w:tabs>
        <w:ind w:hanging="360"/>
      </w:pPr>
      <w:rPr>
        <w:rFonts w:ascii="Wingdings" w:hAnsi="Wingdings" w:hint="default"/>
      </w:rPr>
    </w:lvl>
    <w:lvl w:ilvl="1" w:tplc="08090003">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5257948"/>
    <w:multiLevelType w:val="hybridMultilevel"/>
    <w:tmpl w:val="A9826EAC"/>
    <w:lvl w:ilvl="0" w:tplc="20E2022C">
      <w:start w:val="1"/>
      <w:numFmt w:val="bullet"/>
      <w:lvlText w:val=""/>
      <w:lvlJc w:val="left"/>
      <w:pPr>
        <w:tabs>
          <w:tab w:val="num" w:pos="720"/>
        </w:tabs>
        <w:ind w:left="720" w:hanging="360"/>
      </w:pPr>
      <w:rPr>
        <w:rFonts w:ascii="Symbol" w:hAnsi="Symbol" w:hint="default"/>
        <w:color w:val="1F497D"/>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809000F">
      <w:start w:val="1"/>
      <w:numFmt w:val="decimal"/>
      <w:lvlText w:val="%4."/>
      <w:lvlJc w:val="left"/>
      <w:pPr>
        <w:tabs>
          <w:tab w:val="num" w:pos="2880"/>
        </w:tabs>
        <w:ind w:left="2880" w:hanging="360"/>
      </w:pPr>
      <w:rPr>
        <w:rFonts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03F65"/>
    <w:multiLevelType w:val="hybridMultilevel"/>
    <w:tmpl w:val="46F453E2"/>
    <w:lvl w:ilvl="0" w:tplc="9CA04D2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0AFF04F1"/>
    <w:multiLevelType w:val="multilevel"/>
    <w:tmpl w:val="8CF40942"/>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6" w15:restartNumberingAfterBreak="0">
    <w:nsid w:val="17490D23"/>
    <w:multiLevelType w:val="multilevel"/>
    <w:tmpl w:val="DE8062BE"/>
    <w:lvl w:ilvl="0">
      <w:start w:val="5"/>
      <w:numFmt w:val="decimal"/>
      <w:lvlText w:val="%1."/>
      <w:lvlJc w:val="left"/>
      <w:pPr>
        <w:tabs>
          <w:tab w:val="num" w:pos="1080"/>
        </w:tabs>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D9771A"/>
    <w:multiLevelType w:val="hybridMultilevel"/>
    <w:tmpl w:val="CB7CC818"/>
    <w:lvl w:ilvl="0" w:tplc="08090001">
      <w:start w:val="1"/>
      <w:numFmt w:val="bullet"/>
      <w:lvlText w:val=""/>
      <w:lvlJc w:val="left"/>
      <w:pPr>
        <w:ind w:left="1385" w:hanging="360"/>
      </w:pPr>
      <w:rPr>
        <w:rFonts w:ascii="Symbol" w:hAnsi="Symbol" w:hint="default"/>
      </w:rPr>
    </w:lvl>
    <w:lvl w:ilvl="1" w:tplc="08090003" w:tentative="1">
      <w:start w:val="1"/>
      <w:numFmt w:val="bullet"/>
      <w:lvlText w:val="o"/>
      <w:lvlJc w:val="left"/>
      <w:pPr>
        <w:ind w:left="2105" w:hanging="360"/>
      </w:pPr>
      <w:rPr>
        <w:rFonts w:ascii="Courier New" w:hAnsi="Courier New" w:cs="Courier New" w:hint="default"/>
      </w:rPr>
    </w:lvl>
    <w:lvl w:ilvl="2" w:tplc="08090005" w:tentative="1">
      <w:start w:val="1"/>
      <w:numFmt w:val="bullet"/>
      <w:lvlText w:val=""/>
      <w:lvlJc w:val="left"/>
      <w:pPr>
        <w:ind w:left="2825" w:hanging="360"/>
      </w:pPr>
      <w:rPr>
        <w:rFonts w:ascii="Wingdings" w:hAnsi="Wingdings" w:hint="default"/>
      </w:rPr>
    </w:lvl>
    <w:lvl w:ilvl="3" w:tplc="08090001" w:tentative="1">
      <w:start w:val="1"/>
      <w:numFmt w:val="bullet"/>
      <w:lvlText w:val=""/>
      <w:lvlJc w:val="left"/>
      <w:pPr>
        <w:ind w:left="3545" w:hanging="360"/>
      </w:pPr>
      <w:rPr>
        <w:rFonts w:ascii="Symbol" w:hAnsi="Symbol" w:hint="default"/>
      </w:rPr>
    </w:lvl>
    <w:lvl w:ilvl="4" w:tplc="08090003" w:tentative="1">
      <w:start w:val="1"/>
      <w:numFmt w:val="bullet"/>
      <w:lvlText w:val="o"/>
      <w:lvlJc w:val="left"/>
      <w:pPr>
        <w:ind w:left="4265" w:hanging="360"/>
      </w:pPr>
      <w:rPr>
        <w:rFonts w:ascii="Courier New" w:hAnsi="Courier New" w:cs="Courier New" w:hint="default"/>
      </w:rPr>
    </w:lvl>
    <w:lvl w:ilvl="5" w:tplc="08090005" w:tentative="1">
      <w:start w:val="1"/>
      <w:numFmt w:val="bullet"/>
      <w:lvlText w:val=""/>
      <w:lvlJc w:val="left"/>
      <w:pPr>
        <w:ind w:left="4985" w:hanging="360"/>
      </w:pPr>
      <w:rPr>
        <w:rFonts w:ascii="Wingdings" w:hAnsi="Wingdings" w:hint="default"/>
      </w:rPr>
    </w:lvl>
    <w:lvl w:ilvl="6" w:tplc="08090001" w:tentative="1">
      <w:start w:val="1"/>
      <w:numFmt w:val="bullet"/>
      <w:lvlText w:val=""/>
      <w:lvlJc w:val="left"/>
      <w:pPr>
        <w:ind w:left="5705" w:hanging="360"/>
      </w:pPr>
      <w:rPr>
        <w:rFonts w:ascii="Symbol" w:hAnsi="Symbol" w:hint="default"/>
      </w:rPr>
    </w:lvl>
    <w:lvl w:ilvl="7" w:tplc="08090003" w:tentative="1">
      <w:start w:val="1"/>
      <w:numFmt w:val="bullet"/>
      <w:lvlText w:val="o"/>
      <w:lvlJc w:val="left"/>
      <w:pPr>
        <w:ind w:left="6425" w:hanging="360"/>
      </w:pPr>
      <w:rPr>
        <w:rFonts w:ascii="Courier New" w:hAnsi="Courier New" w:cs="Courier New" w:hint="default"/>
      </w:rPr>
    </w:lvl>
    <w:lvl w:ilvl="8" w:tplc="08090005" w:tentative="1">
      <w:start w:val="1"/>
      <w:numFmt w:val="bullet"/>
      <w:lvlText w:val=""/>
      <w:lvlJc w:val="left"/>
      <w:pPr>
        <w:ind w:left="7145" w:hanging="360"/>
      </w:pPr>
      <w:rPr>
        <w:rFonts w:ascii="Wingdings" w:hAnsi="Wingdings" w:hint="default"/>
      </w:rPr>
    </w:lvl>
  </w:abstractNum>
  <w:abstractNum w:abstractNumId="8" w15:restartNumberingAfterBreak="0">
    <w:nsid w:val="198F380F"/>
    <w:multiLevelType w:val="multilevel"/>
    <w:tmpl w:val="B3A69870"/>
    <w:lvl w:ilvl="0">
      <w:start w:val="7"/>
      <w:numFmt w:val="decimal"/>
      <w:lvlText w:val="%1"/>
      <w:lvlJc w:val="left"/>
      <w:pPr>
        <w:ind w:left="360" w:hanging="360"/>
      </w:pPr>
      <w:rPr>
        <w:rFonts w:hint="default"/>
        <w:b/>
        <w:i w:val="0"/>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9" w15:restartNumberingAfterBreak="0">
    <w:nsid w:val="1F3A3C33"/>
    <w:multiLevelType w:val="multilevel"/>
    <w:tmpl w:val="50401DF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1F44A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6C2F33"/>
    <w:multiLevelType w:val="multilevel"/>
    <w:tmpl w:val="C96CBFF4"/>
    <w:lvl w:ilvl="0">
      <w:start w:val="7"/>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24D94341"/>
    <w:multiLevelType w:val="multilevel"/>
    <w:tmpl w:val="D5A6D4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E37CA9"/>
    <w:multiLevelType w:val="hybridMultilevel"/>
    <w:tmpl w:val="5032F1CE"/>
    <w:lvl w:ilvl="0" w:tplc="3954A99C">
      <w:start w:val="2"/>
      <w:numFmt w:val="bullet"/>
      <w:lvlText w:val="•"/>
      <w:lvlJc w:val="left"/>
      <w:pPr>
        <w:ind w:left="927" w:hanging="360"/>
      </w:pPr>
      <w:rPr>
        <w:rFonts w:ascii="Calibri" w:eastAsia="Times New Roman" w:hAnsi="Calibri"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F093768"/>
    <w:multiLevelType w:val="hybridMultilevel"/>
    <w:tmpl w:val="B1FCA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F32AD"/>
    <w:multiLevelType w:val="multilevel"/>
    <w:tmpl w:val="3348D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393942"/>
    <w:multiLevelType w:val="hybridMultilevel"/>
    <w:tmpl w:val="30B27454"/>
    <w:lvl w:ilvl="0" w:tplc="B4EC45CC">
      <w:start w:val="17"/>
      <w:numFmt w:val="upperLetter"/>
      <w:lvlText w:val="%1."/>
      <w:lvlJc w:val="left"/>
      <w:pPr>
        <w:ind w:left="900" w:hanging="360"/>
      </w:pPr>
      <w:rPr>
        <w:rFonts w:hint="default"/>
        <w:sz w:val="18"/>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7" w15:restartNumberingAfterBreak="0">
    <w:nsid w:val="3D55180A"/>
    <w:multiLevelType w:val="hybridMultilevel"/>
    <w:tmpl w:val="A36CE2B0"/>
    <w:lvl w:ilvl="0" w:tplc="354286D2">
      <w:start w:val="2"/>
      <w:numFmt w:val="bullet"/>
      <w:lvlText w:val="-"/>
      <w:lvlJc w:val="left"/>
      <w:pPr>
        <w:ind w:left="927" w:hanging="360"/>
      </w:pPr>
      <w:rPr>
        <w:rFonts w:ascii="Calibri" w:eastAsia="Times New Roman" w:hAnsi="Calibri"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2A60BFB"/>
    <w:multiLevelType w:val="hybridMultilevel"/>
    <w:tmpl w:val="BCEAD6D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9" w15:restartNumberingAfterBreak="0">
    <w:nsid w:val="444A1FBB"/>
    <w:multiLevelType w:val="multilevel"/>
    <w:tmpl w:val="64B035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DF1EE0"/>
    <w:multiLevelType w:val="multilevel"/>
    <w:tmpl w:val="60C626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7E7425"/>
    <w:multiLevelType w:val="hybridMultilevel"/>
    <w:tmpl w:val="DDBE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41EBD"/>
    <w:multiLevelType w:val="hybridMultilevel"/>
    <w:tmpl w:val="6116F4AA"/>
    <w:lvl w:ilvl="0" w:tplc="08090019">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720"/>
        </w:tabs>
        <w:ind w:left="72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8C70150"/>
    <w:multiLevelType w:val="hybridMultilevel"/>
    <w:tmpl w:val="2A2EAD2E"/>
    <w:lvl w:ilvl="0" w:tplc="3954A99C">
      <w:start w:val="2"/>
      <w:numFmt w:val="bullet"/>
      <w:lvlText w:val="•"/>
      <w:lvlJc w:val="left"/>
      <w:pPr>
        <w:ind w:left="927"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304AD"/>
    <w:multiLevelType w:val="multilevel"/>
    <w:tmpl w:val="763AE9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FDF4786"/>
    <w:multiLevelType w:val="hybridMultilevel"/>
    <w:tmpl w:val="535A0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13202A3"/>
    <w:multiLevelType w:val="hybridMultilevel"/>
    <w:tmpl w:val="C902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2611C5"/>
    <w:multiLevelType w:val="hybridMultilevel"/>
    <w:tmpl w:val="200A7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CC5184"/>
    <w:multiLevelType w:val="hybridMultilevel"/>
    <w:tmpl w:val="FE5CC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F54EB6"/>
    <w:multiLevelType w:val="hybridMultilevel"/>
    <w:tmpl w:val="F9ACCE40"/>
    <w:lvl w:ilvl="0" w:tplc="25A6CE68">
      <w:start w:val="1"/>
      <w:numFmt w:val="decimal"/>
      <w:lvlText w:val="%1."/>
      <w:lvlJc w:val="left"/>
      <w:pPr>
        <w:tabs>
          <w:tab w:val="num" w:pos="720"/>
        </w:tabs>
        <w:ind w:left="720" w:hanging="360"/>
      </w:pPr>
      <w:rPr>
        <w:rFonts w:ascii="Arial" w:hAnsi="Arial" w:cs="Arial" w:hint="default"/>
        <w:b w:val="0"/>
        <w:color w:val="003366"/>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D6334AA"/>
    <w:multiLevelType w:val="hybridMultilevel"/>
    <w:tmpl w:val="57302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A0792A"/>
    <w:multiLevelType w:val="multilevel"/>
    <w:tmpl w:val="1868A1E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5D95A08"/>
    <w:multiLevelType w:val="multilevel"/>
    <w:tmpl w:val="445E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AA7ADC"/>
    <w:multiLevelType w:val="hybridMultilevel"/>
    <w:tmpl w:val="407AD1C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4" w15:restartNumberingAfterBreak="0">
    <w:nsid w:val="7B692B64"/>
    <w:multiLevelType w:val="hybridMultilevel"/>
    <w:tmpl w:val="9858D466"/>
    <w:lvl w:ilvl="0" w:tplc="9C2CD3CA">
      <w:start w:val="8"/>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3F2821"/>
    <w:multiLevelType w:val="hybridMultilevel"/>
    <w:tmpl w:val="559832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9420364">
    <w:abstractNumId w:val="3"/>
  </w:num>
  <w:num w:numId="2" w16cid:durableId="1540120912">
    <w:abstractNumId w:val="12"/>
  </w:num>
  <w:num w:numId="3" w16cid:durableId="2078478836">
    <w:abstractNumId w:val="22"/>
  </w:num>
  <w:num w:numId="4" w16cid:durableId="604994197">
    <w:abstractNumId w:val="16"/>
  </w:num>
  <w:num w:numId="5" w16cid:durableId="771707651">
    <w:abstractNumId w:val="6"/>
  </w:num>
  <w:num w:numId="6" w16cid:durableId="225993980">
    <w:abstractNumId w:val="15"/>
  </w:num>
  <w:num w:numId="7" w16cid:durableId="584994702">
    <w:abstractNumId w:val="31"/>
  </w:num>
  <w:num w:numId="8" w16cid:durableId="1228341439">
    <w:abstractNumId w:val="20"/>
  </w:num>
  <w:num w:numId="9" w16cid:durableId="1162895339">
    <w:abstractNumId w:val="0"/>
  </w:num>
  <w:num w:numId="10" w16cid:durableId="325859131">
    <w:abstractNumId w:val="29"/>
  </w:num>
  <w:num w:numId="11" w16cid:durableId="1943950295">
    <w:abstractNumId w:val="35"/>
  </w:num>
  <w:num w:numId="12" w16cid:durableId="232740134">
    <w:abstractNumId w:val="9"/>
  </w:num>
  <w:num w:numId="13" w16cid:durableId="837309892">
    <w:abstractNumId w:val="11"/>
  </w:num>
  <w:num w:numId="14" w16cid:durableId="2006977314">
    <w:abstractNumId w:val="8"/>
  </w:num>
  <w:num w:numId="15" w16cid:durableId="284311102">
    <w:abstractNumId w:val="28"/>
  </w:num>
  <w:num w:numId="16" w16cid:durableId="1550918417">
    <w:abstractNumId w:val="30"/>
  </w:num>
  <w:num w:numId="17" w16cid:durableId="1113209821">
    <w:abstractNumId w:val="10"/>
  </w:num>
  <w:num w:numId="18" w16cid:durableId="1710836453">
    <w:abstractNumId w:val="24"/>
  </w:num>
  <w:num w:numId="19" w16cid:durableId="1575118986">
    <w:abstractNumId w:val="1"/>
  </w:num>
  <w:num w:numId="20" w16cid:durableId="179703274">
    <w:abstractNumId w:val="34"/>
  </w:num>
  <w:num w:numId="21" w16cid:durableId="825171723">
    <w:abstractNumId w:val="19"/>
  </w:num>
  <w:num w:numId="22" w16cid:durableId="522598762">
    <w:abstractNumId w:val="32"/>
  </w:num>
  <w:num w:numId="23" w16cid:durableId="1128625974">
    <w:abstractNumId w:val="33"/>
  </w:num>
  <w:num w:numId="24" w16cid:durableId="963576734">
    <w:abstractNumId w:val="25"/>
  </w:num>
  <w:num w:numId="25" w16cid:durableId="1243682014">
    <w:abstractNumId w:val="18"/>
  </w:num>
  <w:num w:numId="26" w16cid:durableId="517895087">
    <w:abstractNumId w:val="26"/>
  </w:num>
  <w:num w:numId="27" w16cid:durableId="1626963916">
    <w:abstractNumId w:val="7"/>
  </w:num>
  <w:num w:numId="28" w16cid:durableId="792676174">
    <w:abstractNumId w:val="17"/>
  </w:num>
  <w:num w:numId="29" w16cid:durableId="67307183">
    <w:abstractNumId w:val="21"/>
  </w:num>
  <w:num w:numId="30" w16cid:durableId="621038075">
    <w:abstractNumId w:val="13"/>
  </w:num>
  <w:num w:numId="31" w16cid:durableId="1794591608">
    <w:abstractNumId w:val="23"/>
  </w:num>
  <w:num w:numId="32" w16cid:durableId="1501237468">
    <w:abstractNumId w:val="27"/>
  </w:num>
  <w:num w:numId="33" w16cid:durableId="724138456">
    <w:abstractNumId w:val="2"/>
  </w:num>
  <w:num w:numId="34" w16cid:durableId="960454886">
    <w:abstractNumId w:val="5"/>
  </w:num>
  <w:num w:numId="35" w16cid:durableId="1906989075">
    <w:abstractNumId w:val="4"/>
  </w:num>
  <w:num w:numId="36" w16cid:durableId="25644682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9D"/>
    <w:rsid w:val="00000472"/>
    <w:rsid w:val="00001575"/>
    <w:rsid w:val="0000161B"/>
    <w:rsid w:val="00001803"/>
    <w:rsid w:val="00002ACE"/>
    <w:rsid w:val="0000300A"/>
    <w:rsid w:val="000031AE"/>
    <w:rsid w:val="000034E2"/>
    <w:rsid w:val="00003A88"/>
    <w:rsid w:val="00006314"/>
    <w:rsid w:val="00007DCA"/>
    <w:rsid w:val="00010CB9"/>
    <w:rsid w:val="00010CFA"/>
    <w:rsid w:val="00011C6C"/>
    <w:rsid w:val="00011D9C"/>
    <w:rsid w:val="00012E6D"/>
    <w:rsid w:val="00012EBD"/>
    <w:rsid w:val="0001334B"/>
    <w:rsid w:val="00013381"/>
    <w:rsid w:val="00013460"/>
    <w:rsid w:val="00013C15"/>
    <w:rsid w:val="00013FBA"/>
    <w:rsid w:val="00014280"/>
    <w:rsid w:val="000145DC"/>
    <w:rsid w:val="00014F41"/>
    <w:rsid w:val="000152A5"/>
    <w:rsid w:val="0001539E"/>
    <w:rsid w:val="00015EFE"/>
    <w:rsid w:val="00017DBC"/>
    <w:rsid w:val="00017FEA"/>
    <w:rsid w:val="00020B4C"/>
    <w:rsid w:val="00021AE2"/>
    <w:rsid w:val="00021D02"/>
    <w:rsid w:val="00021E85"/>
    <w:rsid w:val="0002275B"/>
    <w:rsid w:val="00022765"/>
    <w:rsid w:val="00023095"/>
    <w:rsid w:val="0002316E"/>
    <w:rsid w:val="00023919"/>
    <w:rsid w:val="00023AF2"/>
    <w:rsid w:val="0002401B"/>
    <w:rsid w:val="000245C8"/>
    <w:rsid w:val="00024895"/>
    <w:rsid w:val="00024F75"/>
    <w:rsid w:val="00025011"/>
    <w:rsid w:val="000254C4"/>
    <w:rsid w:val="0002640D"/>
    <w:rsid w:val="0002677F"/>
    <w:rsid w:val="00027806"/>
    <w:rsid w:val="000305E6"/>
    <w:rsid w:val="00030989"/>
    <w:rsid w:val="00031622"/>
    <w:rsid w:val="00032F83"/>
    <w:rsid w:val="00033BF8"/>
    <w:rsid w:val="000352EB"/>
    <w:rsid w:val="00035A12"/>
    <w:rsid w:val="00035CF4"/>
    <w:rsid w:val="00035D41"/>
    <w:rsid w:val="000360A3"/>
    <w:rsid w:val="000360B9"/>
    <w:rsid w:val="000365B2"/>
    <w:rsid w:val="00037CFF"/>
    <w:rsid w:val="00037EC1"/>
    <w:rsid w:val="00040D48"/>
    <w:rsid w:val="00041664"/>
    <w:rsid w:val="00041BED"/>
    <w:rsid w:val="000424A6"/>
    <w:rsid w:val="00042DF2"/>
    <w:rsid w:val="000439D4"/>
    <w:rsid w:val="00044A12"/>
    <w:rsid w:val="00044DAB"/>
    <w:rsid w:val="00045732"/>
    <w:rsid w:val="00045C62"/>
    <w:rsid w:val="00045C64"/>
    <w:rsid w:val="000502E3"/>
    <w:rsid w:val="00050795"/>
    <w:rsid w:val="00050BAA"/>
    <w:rsid w:val="00051F00"/>
    <w:rsid w:val="00052383"/>
    <w:rsid w:val="000527B9"/>
    <w:rsid w:val="00052D36"/>
    <w:rsid w:val="00053BE8"/>
    <w:rsid w:val="00054A85"/>
    <w:rsid w:val="00056A41"/>
    <w:rsid w:val="00057613"/>
    <w:rsid w:val="00057B82"/>
    <w:rsid w:val="00061020"/>
    <w:rsid w:val="000614E1"/>
    <w:rsid w:val="00064243"/>
    <w:rsid w:val="00064AB9"/>
    <w:rsid w:val="000658C6"/>
    <w:rsid w:val="00065EC8"/>
    <w:rsid w:val="00066A09"/>
    <w:rsid w:val="00067E00"/>
    <w:rsid w:val="00071A1E"/>
    <w:rsid w:val="000729F3"/>
    <w:rsid w:val="00073905"/>
    <w:rsid w:val="000739A4"/>
    <w:rsid w:val="00073E2E"/>
    <w:rsid w:val="00073E42"/>
    <w:rsid w:val="00074B2F"/>
    <w:rsid w:val="00074E08"/>
    <w:rsid w:val="00075866"/>
    <w:rsid w:val="00075F49"/>
    <w:rsid w:val="000761A2"/>
    <w:rsid w:val="000765F3"/>
    <w:rsid w:val="0007729E"/>
    <w:rsid w:val="0007757B"/>
    <w:rsid w:val="00077CC5"/>
    <w:rsid w:val="0008097C"/>
    <w:rsid w:val="00080C17"/>
    <w:rsid w:val="00080E48"/>
    <w:rsid w:val="00081C3E"/>
    <w:rsid w:val="00081C3F"/>
    <w:rsid w:val="00082065"/>
    <w:rsid w:val="0008276A"/>
    <w:rsid w:val="00082EB6"/>
    <w:rsid w:val="00083079"/>
    <w:rsid w:val="000846FB"/>
    <w:rsid w:val="0008474B"/>
    <w:rsid w:val="0008531F"/>
    <w:rsid w:val="0008565C"/>
    <w:rsid w:val="00085964"/>
    <w:rsid w:val="0008627F"/>
    <w:rsid w:val="0008685C"/>
    <w:rsid w:val="00086E1B"/>
    <w:rsid w:val="000871F3"/>
    <w:rsid w:val="00087282"/>
    <w:rsid w:val="000875D4"/>
    <w:rsid w:val="00087CF0"/>
    <w:rsid w:val="000901F1"/>
    <w:rsid w:val="00090654"/>
    <w:rsid w:val="000909B5"/>
    <w:rsid w:val="00090A67"/>
    <w:rsid w:val="00090B6A"/>
    <w:rsid w:val="00090D82"/>
    <w:rsid w:val="0009111D"/>
    <w:rsid w:val="000912B5"/>
    <w:rsid w:val="00091854"/>
    <w:rsid w:val="00092359"/>
    <w:rsid w:val="0009293A"/>
    <w:rsid w:val="00092A29"/>
    <w:rsid w:val="00093379"/>
    <w:rsid w:val="0009462E"/>
    <w:rsid w:val="00094CC9"/>
    <w:rsid w:val="000954DC"/>
    <w:rsid w:val="000960ED"/>
    <w:rsid w:val="000962B8"/>
    <w:rsid w:val="00096311"/>
    <w:rsid w:val="00096344"/>
    <w:rsid w:val="00096631"/>
    <w:rsid w:val="000973AF"/>
    <w:rsid w:val="000976C0"/>
    <w:rsid w:val="00097BBA"/>
    <w:rsid w:val="000A0CA8"/>
    <w:rsid w:val="000A12AE"/>
    <w:rsid w:val="000A1DFC"/>
    <w:rsid w:val="000A2022"/>
    <w:rsid w:val="000A3484"/>
    <w:rsid w:val="000A37DE"/>
    <w:rsid w:val="000A3BF5"/>
    <w:rsid w:val="000A3CC3"/>
    <w:rsid w:val="000A3E0D"/>
    <w:rsid w:val="000A40FC"/>
    <w:rsid w:val="000A4226"/>
    <w:rsid w:val="000A42E7"/>
    <w:rsid w:val="000A46D6"/>
    <w:rsid w:val="000A57AE"/>
    <w:rsid w:val="000A5BD2"/>
    <w:rsid w:val="000A5CB8"/>
    <w:rsid w:val="000A5E46"/>
    <w:rsid w:val="000A795F"/>
    <w:rsid w:val="000A7BEC"/>
    <w:rsid w:val="000B0047"/>
    <w:rsid w:val="000B1001"/>
    <w:rsid w:val="000B12A0"/>
    <w:rsid w:val="000B18C2"/>
    <w:rsid w:val="000B258D"/>
    <w:rsid w:val="000B31DF"/>
    <w:rsid w:val="000B32DB"/>
    <w:rsid w:val="000B39B1"/>
    <w:rsid w:val="000B3BD6"/>
    <w:rsid w:val="000B4F73"/>
    <w:rsid w:val="000B57AE"/>
    <w:rsid w:val="000B6069"/>
    <w:rsid w:val="000B63CB"/>
    <w:rsid w:val="000B63DF"/>
    <w:rsid w:val="000B68BD"/>
    <w:rsid w:val="000B6CAE"/>
    <w:rsid w:val="000B71C0"/>
    <w:rsid w:val="000B7416"/>
    <w:rsid w:val="000B74CD"/>
    <w:rsid w:val="000B7899"/>
    <w:rsid w:val="000B7B92"/>
    <w:rsid w:val="000B7DCC"/>
    <w:rsid w:val="000C094B"/>
    <w:rsid w:val="000C0E4D"/>
    <w:rsid w:val="000C13B7"/>
    <w:rsid w:val="000C1798"/>
    <w:rsid w:val="000C1CF8"/>
    <w:rsid w:val="000C2129"/>
    <w:rsid w:val="000C2990"/>
    <w:rsid w:val="000C301D"/>
    <w:rsid w:val="000C352C"/>
    <w:rsid w:val="000C4A5F"/>
    <w:rsid w:val="000C54F1"/>
    <w:rsid w:val="000C55CD"/>
    <w:rsid w:val="000C5BAD"/>
    <w:rsid w:val="000C6217"/>
    <w:rsid w:val="000C62F4"/>
    <w:rsid w:val="000C6D9F"/>
    <w:rsid w:val="000C788B"/>
    <w:rsid w:val="000C78D5"/>
    <w:rsid w:val="000C7E83"/>
    <w:rsid w:val="000D050D"/>
    <w:rsid w:val="000D09E2"/>
    <w:rsid w:val="000D11AD"/>
    <w:rsid w:val="000D12AF"/>
    <w:rsid w:val="000D14B1"/>
    <w:rsid w:val="000D1858"/>
    <w:rsid w:val="000D187C"/>
    <w:rsid w:val="000D272C"/>
    <w:rsid w:val="000D2FAD"/>
    <w:rsid w:val="000D358A"/>
    <w:rsid w:val="000D4F21"/>
    <w:rsid w:val="000D51E9"/>
    <w:rsid w:val="000D58AF"/>
    <w:rsid w:val="000D59A3"/>
    <w:rsid w:val="000D667D"/>
    <w:rsid w:val="000D6B81"/>
    <w:rsid w:val="000D6B84"/>
    <w:rsid w:val="000D77D0"/>
    <w:rsid w:val="000D7A8B"/>
    <w:rsid w:val="000E0109"/>
    <w:rsid w:val="000E065B"/>
    <w:rsid w:val="000E0A73"/>
    <w:rsid w:val="000E0FDB"/>
    <w:rsid w:val="000E19DD"/>
    <w:rsid w:val="000E34AE"/>
    <w:rsid w:val="000E3D6D"/>
    <w:rsid w:val="000E4434"/>
    <w:rsid w:val="000E5201"/>
    <w:rsid w:val="000E5384"/>
    <w:rsid w:val="000E55AF"/>
    <w:rsid w:val="000E5BA1"/>
    <w:rsid w:val="000E5E52"/>
    <w:rsid w:val="000E7C8C"/>
    <w:rsid w:val="000F03AB"/>
    <w:rsid w:val="000F0447"/>
    <w:rsid w:val="000F0DC6"/>
    <w:rsid w:val="000F12A2"/>
    <w:rsid w:val="000F15A6"/>
    <w:rsid w:val="000F21B8"/>
    <w:rsid w:val="000F2AC9"/>
    <w:rsid w:val="000F2FEB"/>
    <w:rsid w:val="000F3405"/>
    <w:rsid w:val="000F3CAD"/>
    <w:rsid w:val="000F3F80"/>
    <w:rsid w:val="000F40E0"/>
    <w:rsid w:val="000F47CB"/>
    <w:rsid w:val="000F4B99"/>
    <w:rsid w:val="000F5B90"/>
    <w:rsid w:val="000F5C4C"/>
    <w:rsid w:val="000F6DAD"/>
    <w:rsid w:val="000F7EEE"/>
    <w:rsid w:val="00101156"/>
    <w:rsid w:val="0010129B"/>
    <w:rsid w:val="00102F83"/>
    <w:rsid w:val="001037D5"/>
    <w:rsid w:val="00103D17"/>
    <w:rsid w:val="001044AA"/>
    <w:rsid w:val="00105380"/>
    <w:rsid w:val="00105CFA"/>
    <w:rsid w:val="001063C2"/>
    <w:rsid w:val="001068D7"/>
    <w:rsid w:val="00106B61"/>
    <w:rsid w:val="00107403"/>
    <w:rsid w:val="001078A7"/>
    <w:rsid w:val="00107CB9"/>
    <w:rsid w:val="00107E91"/>
    <w:rsid w:val="0011001B"/>
    <w:rsid w:val="0011151B"/>
    <w:rsid w:val="001117BB"/>
    <w:rsid w:val="00112001"/>
    <w:rsid w:val="0011431B"/>
    <w:rsid w:val="00114C57"/>
    <w:rsid w:val="00116C8B"/>
    <w:rsid w:val="00117EEB"/>
    <w:rsid w:val="00120E25"/>
    <w:rsid w:val="00122A72"/>
    <w:rsid w:val="001240ED"/>
    <w:rsid w:val="00124134"/>
    <w:rsid w:val="0012510B"/>
    <w:rsid w:val="00125453"/>
    <w:rsid w:val="00125845"/>
    <w:rsid w:val="00125929"/>
    <w:rsid w:val="0013020F"/>
    <w:rsid w:val="001303DE"/>
    <w:rsid w:val="00130DDC"/>
    <w:rsid w:val="00131413"/>
    <w:rsid w:val="00131CB7"/>
    <w:rsid w:val="00132373"/>
    <w:rsid w:val="00132B09"/>
    <w:rsid w:val="001330D8"/>
    <w:rsid w:val="0013328D"/>
    <w:rsid w:val="001333A3"/>
    <w:rsid w:val="0013391B"/>
    <w:rsid w:val="00133F42"/>
    <w:rsid w:val="00133FA4"/>
    <w:rsid w:val="00134415"/>
    <w:rsid w:val="00134AE7"/>
    <w:rsid w:val="0013511A"/>
    <w:rsid w:val="001354B8"/>
    <w:rsid w:val="00136FF5"/>
    <w:rsid w:val="001377D7"/>
    <w:rsid w:val="00137AD5"/>
    <w:rsid w:val="00140C8F"/>
    <w:rsid w:val="00141F99"/>
    <w:rsid w:val="00142B53"/>
    <w:rsid w:val="001438ED"/>
    <w:rsid w:val="00143BB9"/>
    <w:rsid w:val="00143EBB"/>
    <w:rsid w:val="001443D2"/>
    <w:rsid w:val="00144D23"/>
    <w:rsid w:val="00144DBC"/>
    <w:rsid w:val="00145059"/>
    <w:rsid w:val="00145F50"/>
    <w:rsid w:val="0014654F"/>
    <w:rsid w:val="00146923"/>
    <w:rsid w:val="00146BBF"/>
    <w:rsid w:val="0014779F"/>
    <w:rsid w:val="00150807"/>
    <w:rsid w:val="00150816"/>
    <w:rsid w:val="00151479"/>
    <w:rsid w:val="00151857"/>
    <w:rsid w:val="00151C37"/>
    <w:rsid w:val="001521CB"/>
    <w:rsid w:val="0015263D"/>
    <w:rsid w:val="00152A73"/>
    <w:rsid w:val="00153962"/>
    <w:rsid w:val="001543EA"/>
    <w:rsid w:val="00154531"/>
    <w:rsid w:val="00154686"/>
    <w:rsid w:val="00154692"/>
    <w:rsid w:val="00155C64"/>
    <w:rsid w:val="00156D95"/>
    <w:rsid w:val="00156E52"/>
    <w:rsid w:val="0016039D"/>
    <w:rsid w:val="00161F09"/>
    <w:rsid w:val="00162744"/>
    <w:rsid w:val="00164487"/>
    <w:rsid w:val="0016465A"/>
    <w:rsid w:val="00165568"/>
    <w:rsid w:val="00165A13"/>
    <w:rsid w:val="00166A88"/>
    <w:rsid w:val="00170D10"/>
    <w:rsid w:val="001714BB"/>
    <w:rsid w:val="00173373"/>
    <w:rsid w:val="00173975"/>
    <w:rsid w:val="00173BE2"/>
    <w:rsid w:val="00173FB6"/>
    <w:rsid w:val="001744A9"/>
    <w:rsid w:val="00174811"/>
    <w:rsid w:val="00174DA3"/>
    <w:rsid w:val="001758CF"/>
    <w:rsid w:val="00176DB7"/>
    <w:rsid w:val="001772E5"/>
    <w:rsid w:val="00177386"/>
    <w:rsid w:val="0017763F"/>
    <w:rsid w:val="001779A5"/>
    <w:rsid w:val="0018095D"/>
    <w:rsid w:val="00180E2D"/>
    <w:rsid w:val="00181B8B"/>
    <w:rsid w:val="00182EE5"/>
    <w:rsid w:val="00183167"/>
    <w:rsid w:val="0018358F"/>
    <w:rsid w:val="00184186"/>
    <w:rsid w:val="001841E3"/>
    <w:rsid w:val="0018445F"/>
    <w:rsid w:val="001846A7"/>
    <w:rsid w:val="001870A7"/>
    <w:rsid w:val="001872A6"/>
    <w:rsid w:val="0019003D"/>
    <w:rsid w:val="00190BE7"/>
    <w:rsid w:val="00190E52"/>
    <w:rsid w:val="001915EF"/>
    <w:rsid w:val="00192613"/>
    <w:rsid w:val="00193181"/>
    <w:rsid w:val="00193932"/>
    <w:rsid w:val="00193FAF"/>
    <w:rsid w:val="001941F6"/>
    <w:rsid w:val="0019522A"/>
    <w:rsid w:val="00195958"/>
    <w:rsid w:val="00195A04"/>
    <w:rsid w:val="00195E3B"/>
    <w:rsid w:val="00196401"/>
    <w:rsid w:val="0019652E"/>
    <w:rsid w:val="001969A7"/>
    <w:rsid w:val="00197A28"/>
    <w:rsid w:val="00197FC7"/>
    <w:rsid w:val="001A0C7A"/>
    <w:rsid w:val="001A0C94"/>
    <w:rsid w:val="001A11B7"/>
    <w:rsid w:val="001A2312"/>
    <w:rsid w:val="001A2E95"/>
    <w:rsid w:val="001A3654"/>
    <w:rsid w:val="001A436A"/>
    <w:rsid w:val="001A4512"/>
    <w:rsid w:val="001A4E30"/>
    <w:rsid w:val="001A59DD"/>
    <w:rsid w:val="001A5F6B"/>
    <w:rsid w:val="001A7D99"/>
    <w:rsid w:val="001A7FA0"/>
    <w:rsid w:val="001B026E"/>
    <w:rsid w:val="001B02A7"/>
    <w:rsid w:val="001B0856"/>
    <w:rsid w:val="001B1042"/>
    <w:rsid w:val="001B13F8"/>
    <w:rsid w:val="001B1658"/>
    <w:rsid w:val="001B1812"/>
    <w:rsid w:val="001B1831"/>
    <w:rsid w:val="001B3D41"/>
    <w:rsid w:val="001B4512"/>
    <w:rsid w:val="001B49A9"/>
    <w:rsid w:val="001B5769"/>
    <w:rsid w:val="001B7B91"/>
    <w:rsid w:val="001B7BA1"/>
    <w:rsid w:val="001C02D4"/>
    <w:rsid w:val="001C0486"/>
    <w:rsid w:val="001C0DCC"/>
    <w:rsid w:val="001C1471"/>
    <w:rsid w:val="001C1B1B"/>
    <w:rsid w:val="001C2C53"/>
    <w:rsid w:val="001C4A1A"/>
    <w:rsid w:val="001C4A68"/>
    <w:rsid w:val="001C5339"/>
    <w:rsid w:val="001C5F9B"/>
    <w:rsid w:val="001C6644"/>
    <w:rsid w:val="001C68C2"/>
    <w:rsid w:val="001C69D8"/>
    <w:rsid w:val="001C6A0E"/>
    <w:rsid w:val="001C6AC7"/>
    <w:rsid w:val="001C6B8F"/>
    <w:rsid w:val="001C752D"/>
    <w:rsid w:val="001C7577"/>
    <w:rsid w:val="001C7753"/>
    <w:rsid w:val="001C7D07"/>
    <w:rsid w:val="001D0029"/>
    <w:rsid w:val="001D03F3"/>
    <w:rsid w:val="001D0754"/>
    <w:rsid w:val="001D15B3"/>
    <w:rsid w:val="001D21E6"/>
    <w:rsid w:val="001D2349"/>
    <w:rsid w:val="001D26F6"/>
    <w:rsid w:val="001D2776"/>
    <w:rsid w:val="001D2B59"/>
    <w:rsid w:val="001D3555"/>
    <w:rsid w:val="001D3DF1"/>
    <w:rsid w:val="001D3F0C"/>
    <w:rsid w:val="001D42B6"/>
    <w:rsid w:val="001D4636"/>
    <w:rsid w:val="001D4A3C"/>
    <w:rsid w:val="001D53D2"/>
    <w:rsid w:val="001D5DDC"/>
    <w:rsid w:val="001D67E9"/>
    <w:rsid w:val="001D6889"/>
    <w:rsid w:val="001D69D2"/>
    <w:rsid w:val="001D6A63"/>
    <w:rsid w:val="001E2433"/>
    <w:rsid w:val="001E3EA1"/>
    <w:rsid w:val="001E4400"/>
    <w:rsid w:val="001E45BA"/>
    <w:rsid w:val="001E4A2C"/>
    <w:rsid w:val="001E58E4"/>
    <w:rsid w:val="001E602B"/>
    <w:rsid w:val="001E71FB"/>
    <w:rsid w:val="001E7BE6"/>
    <w:rsid w:val="001E7FA6"/>
    <w:rsid w:val="001E7FDB"/>
    <w:rsid w:val="001F132E"/>
    <w:rsid w:val="001F1532"/>
    <w:rsid w:val="001F1763"/>
    <w:rsid w:val="001F1788"/>
    <w:rsid w:val="001F1B60"/>
    <w:rsid w:val="001F25F8"/>
    <w:rsid w:val="001F4B0F"/>
    <w:rsid w:val="001F5EB8"/>
    <w:rsid w:val="001F6351"/>
    <w:rsid w:val="001F6577"/>
    <w:rsid w:val="001F6C72"/>
    <w:rsid w:val="001F6D01"/>
    <w:rsid w:val="001F78EE"/>
    <w:rsid w:val="00200B28"/>
    <w:rsid w:val="002015E2"/>
    <w:rsid w:val="00201827"/>
    <w:rsid w:val="00202B58"/>
    <w:rsid w:val="002031EC"/>
    <w:rsid w:val="00204109"/>
    <w:rsid w:val="00204E88"/>
    <w:rsid w:val="00206F6A"/>
    <w:rsid w:val="0020738A"/>
    <w:rsid w:val="002073EE"/>
    <w:rsid w:val="00207F7A"/>
    <w:rsid w:val="002106FA"/>
    <w:rsid w:val="002108E1"/>
    <w:rsid w:val="00210F09"/>
    <w:rsid w:val="0021104C"/>
    <w:rsid w:val="0021164F"/>
    <w:rsid w:val="00211901"/>
    <w:rsid w:val="002123CB"/>
    <w:rsid w:val="0021278D"/>
    <w:rsid w:val="002131D6"/>
    <w:rsid w:val="00213338"/>
    <w:rsid w:val="00213411"/>
    <w:rsid w:val="002144E1"/>
    <w:rsid w:val="00214BB3"/>
    <w:rsid w:val="0021559E"/>
    <w:rsid w:val="002155A5"/>
    <w:rsid w:val="00215A6E"/>
    <w:rsid w:val="0021617A"/>
    <w:rsid w:val="0021692A"/>
    <w:rsid w:val="00216CC5"/>
    <w:rsid w:val="00217ED1"/>
    <w:rsid w:val="0022031F"/>
    <w:rsid w:val="00220D5F"/>
    <w:rsid w:val="00221894"/>
    <w:rsid w:val="00222191"/>
    <w:rsid w:val="002222D4"/>
    <w:rsid w:val="002224A8"/>
    <w:rsid w:val="00222683"/>
    <w:rsid w:val="002228E3"/>
    <w:rsid w:val="0022297E"/>
    <w:rsid w:val="00222C43"/>
    <w:rsid w:val="00222C53"/>
    <w:rsid w:val="002230BD"/>
    <w:rsid w:val="002233E6"/>
    <w:rsid w:val="00223D9C"/>
    <w:rsid w:val="0022416C"/>
    <w:rsid w:val="00224B15"/>
    <w:rsid w:val="00226B8F"/>
    <w:rsid w:val="00226FE8"/>
    <w:rsid w:val="0022787E"/>
    <w:rsid w:val="002279D9"/>
    <w:rsid w:val="00230A55"/>
    <w:rsid w:val="0023150C"/>
    <w:rsid w:val="002324AF"/>
    <w:rsid w:val="002327C5"/>
    <w:rsid w:val="00232D21"/>
    <w:rsid w:val="00232D5A"/>
    <w:rsid w:val="00232EA8"/>
    <w:rsid w:val="002336C5"/>
    <w:rsid w:val="00234AA6"/>
    <w:rsid w:val="00235462"/>
    <w:rsid w:val="0023550E"/>
    <w:rsid w:val="002355D3"/>
    <w:rsid w:val="002358A7"/>
    <w:rsid w:val="00235AE3"/>
    <w:rsid w:val="00236003"/>
    <w:rsid w:val="00236177"/>
    <w:rsid w:val="002374C6"/>
    <w:rsid w:val="0023769B"/>
    <w:rsid w:val="00241F10"/>
    <w:rsid w:val="0024212D"/>
    <w:rsid w:val="002429C0"/>
    <w:rsid w:val="00242B13"/>
    <w:rsid w:val="00242EBE"/>
    <w:rsid w:val="00243538"/>
    <w:rsid w:val="002439C4"/>
    <w:rsid w:val="00243BF7"/>
    <w:rsid w:val="002452FE"/>
    <w:rsid w:val="002454AB"/>
    <w:rsid w:val="00245CA5"/>
    <w:rsid w:val="002463B2"/>
    <w:rsid w:val="00246834"/>
    <w:rsid w:val="002469F3"/>
    <w:rsid w:val="00246B57"/>
    <w:rsid w:val="00246E83"/>
    <w:rsid w:val="00246ECA"/>
    <w:rsid w:val="002474D1"/>
    <w:rsid w:val="00247735"/>
    <w:rsid w:val="00247C2D"/>
    <w:rsid w:val="00247F7B"/>
    <w:rsid w:val="00251C3C"/>
    <w:rsid w:val="00252441"/>
    <w:rsid w:val="00252915"/>
    <w:rsid w:val="0025297E"/>
    <w:rsid w:val="002529FA"/>
    <w:rsid w:val="00252C99"/>
    <w:rsid w:val="00253375"/>
    <w:rsid w:val="00253389"/>
    <w:rsid w:val="0025358D"/>
    <w:rsid w:val="002537BF"/>
    <w:rsid w:val="00253C48"/>
    <w:rsid w:val="002547E2"/>
    <w:rsid w:val="00254C06"/>
    <w:rsid w:val="00256973"/>
    <w:rsid w:val="00256ADD"/>
    <w:rsid w:val="00256AF9"/>
    <w:rsid w:val="00256CF9"/>
    <w:rsid w:val="00256F05"/>
    <w:rsid w:val="0025753C"/>
    <w:rsid w:val="00257C20"/>
    <w:rsid w:val="00260637"/>
    <w:rsid w:val="002606E9"/>
    <w:rsid w:val="00260938"/>
    <w:rsid w:val="00260A61"/>
    <w:rsid w:val="00260FB7"/>
    <w:rsid w:val="002618A6"/>
    <w:rsid w:val="0026199E"/>
    <w:rsid w:val="00261AA9"/>
    <w:rsid w:val="00262024"/>
    <w:rsid w:val="00262126"/>
    <w:rsid w:val="00262541"/>
    <w:rsid w:val="0026416A"/>
    <w:rsid w:val="0026467A"/>
    <w:rsid w:val="002646F9"/>
    <w:rsid w:val="00266054"/>
    <w:rsid w:val="0026705F"/>
    <w:rsid w:val="0026783F"/>
    <w:rsid w:val="00270179"/>
    <w:rsid w:val="0027037D"/>
    <w:rsid w:val="0027068F"/>
    <w:rsid w:val="002707B7"/>
    <w:rsid w:val="00271797"/>
    <w:rsid w:val="00271B6B"/>
    <w:rsid w:val="00271BFE"/>
    <w:rsid w:val="00271C52"/>
    <w:rsid w:val="00271F20"/>
    <w:rsid w:val="002720E6"/>
    <w:rsid w:val="002723E2"/>
    <w:rsid w:val="00272E59"/>
    <w:rsid w:val="002734FC"/>
    <w:rsid w:val="00274076"/>
    <w:rsid w:val="00274C95"/>
    <w:rsid w:val="002754B5"/>
    <w:rsid w:val="00275580"/>
    <w:rsid w:val="00275711"/>
    <w:rsid w:val="0027593B"/>
    <w:rsid w:val="00275DCE"/>
    <w:rsid w:val="00275E5D"/>
    <w:rsid w:val="00275EE7"/>
    <w:rsid w:val="00275F3D"/>
    <w:rsid w:val="0027604B"/>
    <w:rsid w:val="00276CE7"/>
    <w:rsid w:val="002775DD"/>
    <w:rsid w:val="0028061F"/>
    <w:rsid w:val="0028084A"/>
    <w:rsid w:val="00280F03"/>
    <w:rsid w:val="00281A4C"/>
    <w:rsid w:val="0028203C"/>
    <w:rsid w:val="0028222F"/>
    <w:rsid w:val="0028244D"/>
    <w:rsid w:val="00282649"/>
    <w:rsid w:val="00283A76"/>
    <w:rsid w:val="002845F0"/>
    <w:rsid w:val="00284D5D"/>
    <w:rsid w:val="002855C2"/>
    <w:rsid w:val="002857CC"/>
    <w:rsid w:val="00286148"/>
    <w:rsid w:val="00287897"/>
    <w:rsid w:val="00287C45"/>
    <w:rsid w:val="00287D39"/>
    <w:rsid w:val="0029046E"/>
    <w:rsid w:val="002919AE"/>
    <w:rsid w:val="00291BFF"/>
    <w:rsid w:val="00292508"/>
    <w:rsid w:val="00292849"/>
    <w:rsid w:val="00292918"/>
    <w:rsid w:val="00293611"/>
    <w:rsid w:val="0029372E"/>
    <w:rsid w:val="002938ED"/>
    <w:rsid w:val="002942EE"/>
    <w:rsid w:val="00294616"/>
    <w:rsid w:val="0029490A"/>
    <w:rsid w:val="00294A96"/>
    <w:rsid w:val="00295B2B"/>
    <w:rsid w:val="00295F81"/>
    <w:rsid w:val="0029621C"/>
    <w:rsid w:val="002963CD"/>
    <w:rsid w:val="00296C9F"/>
    <w:rsid w:val="00297D27"/>
    <w:rsid w:val="002A03E4"/>
    <w:rsid w:val="002A0AC0"/>
    <w:rsid w:val="002A0EC4"/>
    <w:rsid w:val="002A112F"/>
    <w:rsid w:val="002A19B7"/>
    <w:rsid w:val="002A1DA0"/>
    <w:rsid w:val="002A1F32"/>
    <w:rsid w:val="002A2936"/>
    <w:rsid w:val="002A3775"/>
    <w:rsid w:val="002A37FD"/>
    <w:rsid w:val="002A45C9"/>
    <w:rsid w:val="002A4F19"/>
    <w:rsid w:val="002A4F83"/>
    <w:rsid w:val="002A5A7F"/>
    <w:rsid w:val="002A5FEA"/>
    <w:rsid w:val="002A62ED"/>
    <w:rsid w:val="002A6306"/>
    <w:rsid w:val="002A66A8"/>
    <w:rsid w:val="002B1F8D"/>
    <w:rsid w:val="002B204C"/>
    <w:rsid w:val="002B28C1"/>
    <w:rsid w:val="002B2DFB"/>
    <w:rsid w:val="002B379C"/>
    <w:rsid w:val="002B3825"/>
    <w:rsid w:val="002B415E"/>
    <w:rsid w:val="002B464E"/>
    <w:rsid w:val="002B4938"/>
    <w:rsid w:val="002B4DC5"/>
    <w:rsid w:val="002B51FD"/>
    <w:rsid w:val="002C1223"/>
    <w:rsid w:val="002C1505"/>
    <w:rsid w:val="002C28E7"/>
    <w:rsid w:val="002C31E4"/>
    <w:rsid w:val="002C358C"/>
    <w:rsid w:val="002C3A7A"/>
    <w:rsid w:val="002C4179"/>
    <w:rsid w:val="002C42DF"/>
    <w:rsid w:val="002C4694"/>
    <w:rsid w:val="002C5268"/>
    <w:rsid w:val="002C5927"/>
    <w:rsid w:val="002C595E"/>
    <w:rsid w:val="002C5CD5"/>
    <w:rsid w:val="002C5DBE"/>
    <w:rsid w:val="002C69EC"/>
    <w:rsid w:val="002C7024"/>
    <w:rsid w:val="002C7658"/>
    <w:rsid w:val="002C776F"/>
    <w:rsid w:val="002C7B0B"/>
    <w:rsid w:val="002C7E8F"/>
    <w:rsid w:val="002C7E97"/>
    <w:rsid w:val="002D1044"/>
    <w:rsid w:val="002D113F"/>
    <w:rsid w:val="002D1C69"/>
    <w:rsid w:val="002D1C91"/>
    <w:rsid w:val="002D27FE"/>
    <w:rsid w:val="002D2ED6"/>
    <w:rsid w:val="002D3311"/>
    <w:rsid w:val="002D3398"/>
    <w:rsid w:val="002D3954"/>
    <w:rsid w:val="002D3A18"/>
    <w:rsid w:val="002D3A8C"/>
    <w:rsid w:val="002D4270"/>
    <w:rsid w:val="002D46EE"/>
    <w:rsid w:val="002D47BE"/>
    <w:rsid w:val="002D5203"/>
    <w:rsid w:val="002D5D20"/>
    <w:rsid w:val="002D6034"/>
    <w:rsid w:val="002D62B2"/>
    <w:rsid w:val="002D659D"/>
    <w:rsid w:val="002D665D"/>
    <w:rsid w:val="002D698B"/>
    <w:rsid w:val="002D7747"/>
    <w:rsid w:val="002D7FE5"/>
    <w:rsid w:val="002E018A"/>
    <w:rsid w:val="002E0643"/>
    <w:rsid w:val="002E1633"/>
    <w:rsid w:val="002E1884"/>
    <w:rsid w:val="002E1ABF"/>
    <w:rsid w:val="002E1E06"/>
    <w:rsid w:val="002E2E6F"/>
    <w:rsid w:val="002E2FD8"/>
    <w:rsid w:val="002E350B"/>
    <w:rsid w:val="002E3873"/>
    <w:rsid w:val="002E3B41"/>
    <w:rsid w:val="002E4813"/>
    <w:rsid w:val="002E58F0"/>
    <w:rsid w:val="002E61AF"/>
    <w:rsid w:val="002E6D97"/>
    <w:rsid w:val="002E755D"/>
    <w:rsid w:val="002E75B4"/>
    <w:rsid w:val="002E7931"/>
    <w:rsid w:val="002E79C8"/>
    <w:rsid w:val="002E7F9B"/>
    <w:rsid w:val="002F0314"/>
    <w:rsid w:val="002F09DF"/>
    <w:rsid w:val="002F0A35"/>
    <w:rsid w:val="002F12E0"/>
    <w:rsid w:val="002F1BEB"/>
    <w:rsid w:val="002F25B7"/>
    <w:rsid w:val="002F420E"/>
    <w:rsid w:val="002F4EFC"/>
    <w:rsid w:val="002F53DD"/>
    <w:rsid w:val="002F5D12"/>
    <w:rsid w:val="002F5EDE"/>
    <w:rsid w:val="002F6094"/>
    <w:rsid w:val="002F7BA5"/>
    <w:rsid w:val="002F7C56"/>
    <w:rsid w:val="002F7E71"/>
    <w:rsid w:val="00300C95"/>
    <w:rsid w:val="003016DB"/>
    <w:rsid w:val="00302911"/>
    <w:rsid w:val="00302A3D"/>
    <w:rsid w:val="00302E0F"/>
    <w:rsid w:val="00303412"/>
    <w:rsid w:val="00303FD7"/>
    <w:rsid w:val="003040AD"/>
    <w:rsid w:val="00304832"/>
    <w:rsid w:val="00304866"/>
    <w:rsid w:val="00304A7C"/>
    <w:rsid w:val="0030522D"/>
    <w:rsid w:val="003056FD"/>
    <w:rsid w:val="00306C6B"/>
    <w:rsid w:val="003071B0"/>
    <w:rsid w:val="003104EB"/>
    <w:rsid w:val="0031248E"/>
    <w:rsid w:val="00313283"/>
    <w:rsid w:val="00313CC3"/>
    <w:rsid w:val="0031437F"/>
    <w:rsid w:val="003156E8"/>
    <w:rsid w:val="003174DC"/>
    <w:rsid w:val="00317522"/>
    <w:rsid w:val="00317579"/>
    <w:rsid w:val="00317830"/>
    <w:rsid w:val="003200D7"/>
    <w:rsid w:val="00320754"/>
    <w:rsid w:val="00320A9E"/>
    <w:rsid w:val="00321998"/>
    <w:rsid w:val="00321BF9"/>
    <w:rsid w:val="00322573"/>
    <w:rsid w:val="003239C6"/>
    <w:rsid w:val="00323FBD"/>
    <w:rsid w:val="0032473C"/>
    <w:rsid w:val="00324A80"/>
    <w:rsid w:val="00324E69"/>
    <w:rsid w:val="003256F7"/>
    <w:rsid w:val="00326880"/>
    <w:rsid w:val="00326B84"/>
    <w:rsid w:val="00327569"/>
    <w:rsid w:val="003278B5"/>
    <w:rsid w:val="00327B80"/>
    <w:rsid w:val="003301E1"/>
    <w:rsid w:val="0033069D"/>
    <w:rsid w:val="003315DE"/>
    <w:rsid w:val="0033273E"/>
    <w:rsid w:val="00332ACF"/>
    <w:rsid w:val="00332DBD"/>
    <w:rsid w:val="00332E24"/>
    <w:rsid w:val="003332EC"/>
    <w:rsid w:val="0033332F"/>
    <w:rsid w:val="00333796"/>
    <w:rsid w:val="003343C7"/>
    <w:rsid w:val="0033479A"/>
    <w:rsid w:val="00334EDE"/>
    <w:rsid w:val="00334F0E"/>
    <w:rsid w:val="00335C6B"/>
    <w:rsid w:val="00336128"/>
    <w:rsid w:val="003366F3"/>
    <w:rsid w:val="0033672D"/>
    <w:rsid w:val="00336A19"/>
    <w:rsid w:val="00337C85"/>
    <w:rsid w:val="00337EDA"/>
    <w:rsid w:val="00340184"/>
    <w:rsid w:val="00340375"/>
    <w:rsid w:val="00340BC9"/>
    <w:rsid w:val="00341453"/>
    <w:rsid w:val="003417B0"/>
    <w:rsid w:val="00341867"/>
    <w:rsid w:val="00342748"/>
    <w:rsid w:val="00342BD9"/>
    <w:rsid w:val="003436FB"/>
    <w:rsid w:val="00344404"/>
    <w:rsid w:val="00344416"/>
    <w:rsid w:val="00344668"/>
    <w:rsid w:val="0034543C"/>
    <w:rsid w:val="00345CC6"/>
    <w:rsid w:val="0034626B"/>
    <w:rsid w:val="003468E7"/>
    <w:rsid w:val="00347C2B"/>
    <w:rsid w:val="00347EB0"/>
    <w:rsid w:val="00350B31"/>
    <w:rsid w:val="00350BCC"/>
    <w:rsid w:val="00350BD7"/>
    <w:rsid w:val="00350CD6"/>
    <w:rsid w:val="00351F23"/>
    <w:rsid w:val="00352B6C"/>
    <w:rsid w:val="00352C4C"/>
    <w:rsid w:val="003533C8"/>
    <w:rsid w:val="00355099"/>
    <w:rsid w:val="00355916"/>
    <w:rsid w:val="0035598E"/>
    <w:rsid w:val="00357593"/>
    <w:rsid w:val="003578EF"/>
    <w:rsid w:val="00360AD3"/>
    <w:rsid w:val="00360DC5"/>
    <w:rsid w:val="0036149E"/>
    <w:rsid w:val="00362570"/>
    <w:rsid w:val="003625C2"/>
    <w:rsid w:val="00362A3B"/>
    <w:rsid w:val="00363894"/>
    <w:rsid w:val="003639FD"/>
    <w:rsid w:val="00363BBB"/>
    <w:rsid w:val="003640DA"/>
    <w:rsid w:val="00364244"/>
    <w:rsid w:val="00364495"/>
    <w:rsid w:val="00364B85"/>
    <w:rsid w:val="00365D9B"/>
    <w:rsid w:val="00366140"/>
    <w:rsid w:val="00366157"/>
    <w:rsid w:val="0036709E"/>
    <w:rsid w:val="003674A5"/>
    <w:rsid w:val="00367767"/>
    <w:rsid w:val="00367822"/>
    <w:rsid w:val="0036787F"/>
    <w:rsid w:val="00367E52"/>
    <w:rsid w:val="0037013D"/>
    <w:rsid w:val="00370427"/>
    <w:rsid w:val="00371EDF"/>
    <w:rsid w:val="00372C72"/>
    <w:rsid w:val="003735EB"/>
    <w:rsid w:val="00373B30"/>
    <w:rsid w:val="003742AB"/>
    <w:rsid w:val="00374A64"/>
    <w:rsid w:val="003755AA"/>
    <w:rsid w:val="00376A1D"/>
    <w:rsid w:val="00376C30"/>
    <w:rsid w:val="003772FC"/>
    <w:rsid w:val="003773DA"/>
    <w:rsid w:val="00377D13"/>
    <w:rsid w:val="003800E5"/>
    <w:rsid w:val="003807DE"/>
    <w:rsid w:val="00381D66"/>
    <w:rsid w:val="00382F5F"/>
    <w:rsid w:val="0038449C"/>
    <w:rsid w:val="00384C10"/>
    <w:rsid w:val="00385C51"/>
    <w:rsid w:val="00385F6A"/>
    <w:rsid w:val="00385F8D"/>
    <w:rsid w:val="00386E0B"/>
    <w:rsid w:val="003878D2"/>
    <w:rsid w:val="00387F17"/>
    <w:rsid w:val="003922FD"/>
    <w:rsid w:val="00393D68"/>
    <w:rsid w:val="00394908"/>
    <w:rsid w:val="00394E47"/>
    <w:rsid w:val="003962F6"/>
    <w:rsid w:val="003965F2"/>
    <w:rsid w:val="0039677A"/>
    <w:rsid w:val="003967A3"/>
    <w:rsid w:val="00396A3E"/>
    <w:rsid w:val="00396B25"/>
    <w:rsid w:val="00397D32"/>
    <w:rsid w:val="00397EF7"/>
    <w:rsid w:val="003A0082"/>
    <w:rsid w:val="003A069F"/>
    <w:rsid w:val="003A0977"/>
    <w:rsid w:val="003A0AAD"/>
    <w:rsid w:val="003A0BAE"/>
    <w:rsid w:val="003A0E49"/>
    <w:rsid w:val="003A2163"/>
    <w:rsid w:val="003A318F"/>
    <w:rsid w:val="003A33C8"/>
    <w:rsid w:val="003A352B"/>
    <w:rsid w:val="003A36B0"/>
    <w:rsid w:val="003A46F1"/>
    <w:rsid w:val="003A4D71"/>
    <w:rsid w:val="003A50F0"/>
    <w:rsid w:val="003A571C"/>
    <w:rsid w:val="003A5D13"/>
    <w:rsid w:val="003A60A7"/>
    <w:rsid w:val="003A666F"/>
    <w:rsid w:val="003A6853"/>
    <w:rsid w:val="003A689A"/>
    <w:rsid w:val="003A6D71"/>
    <w:rsid w:val="003B034E"/>
    <w:rsid w:val="003B0493"/>
    <w:rsid w:val="003B0914"/>
    <w:rsid w:val="003B1A4F"/>
    <w:rsid w:val="003B1A60"/>
    <w:rsid w:val="003B2E0F"/>
    <w:rsid w:val="003B4258"/>
    <w:rsid w:val="003B4872"/>
    <w:rsid w:val="003B4AF4"/>
    <w:rsid w:val="003B5114"/>
    <w:rsid w:val="003B56DA"/>
    <w:rsid w:val="003B5BEB"/>
    <w:rsid w:val="003B5EBD"/>
    <w:rsid w:val="003B664F"/>
    <w:rsid w:val="003B6951"/>
    <w:rsid w:val="003B7004"/>
    <w:rsid w:val="003C0124"/>
    <w:rsid w:val="003C0546"/>
    <w:rsid w:val="003C07FA"/>
    <w:rsid w:val="003C16D9"/>
    <w:rsid w:val="003C3692"/>
    <w:rsid w:val="003C4055"/>
    <w:rsid w:val="003C4A94"/>
    <w:rsid w:val="003C4EBB"/>
    <w:rsid w:val="003C504D"/>
    <w:rsid w:val="003C5FCE"/>
    <w:rsid w:val="003C612F"/>
    <w:rsid w:val="003C6D6C"/>
    <w:rsid w:val="003C6F14"/>
    <w:rsid w:val="003C70A6"/>
    <w:rsid w:val="003C790A"/>
    <w:rsid w:val="003C7BFE"/>
    <w:rsid w:val="003C7C70"/>
    <w:rsid w:val="003D0356"/>
    <w:rsid w:val="003D0A69"/>
    <w:rsid w:val="003D0CC7"/>
    <w:rsid w:val="003D24A9"/>
    <w:rsid w:val="003D282C"/>
    <w:rsid w:val="003D2C4C"/>
    <w:rsid w:val="003D3567"/>
    <w:rsid w:val="003D36D2"/>
    <w:rsid w:val="003D3802"/>
    <w:rsid w:val="003D4251"/>
    <w:rsid w:val="003D4509"/>
    <w:rsid w:val="003D479E"/>
    <w:rsid w:val="003D4CEC"/>
    <w:rsid w:val="003D5642"/>
    <w:rsid w:val="003D5C66"/>
    <w:rsid w:val="003D60E5"/>
    <w:rsid w:val="003D7348"/>
    <w:rsid w:val="003D77D3"/>
    <w:rsid w:val="003E0BA9"/>
    <w:rsid w:val="003E1239"/>
    <w:rsid w:val="003E1778"/>
    <w:rsid w:val="003E1DA8"/>
    <w:rsid w:val="003E1EA3"/>
    <w:rsid w:val="003E2672"/>
    <w:rsid w:val="003E2E9E"/>
    <w:rsid w:val="003E3804"/>
    <w:rsid w:val="003E438F"/>
    <w:rsid w:val="003E48F3"/>
    <w:rsid w:val="003E4DC5"/>
    <w:rsid w:val="003E4EF9"/>
    <w:rsid w:val="003E5059"/>
    <w:rsid w:val="003E539F"/>
    <w:rsid w:val="003E5C56"/>
    <w:rsid w:val="003E5EA4"/>
    <w:rsid w:val="003E5F08"/>
    <w:rsid w:val="003E6736"/>
    <w:rsid w:val="003E69CC"/>
    <w:rsid w:val="003E6CDD"/>
    <w:rsid w:val="003F0861"/>
    <w:rsid w:val="003F1BC2"/>
    <w:rsid w:val="003F2CC5"/>
    <w:rsid w:val="003F321A"/>
    <w:rsid w:val="003F3624"/>
    <w:rsid w:val="003F3EB2"/>
    <w:rsid w:val="003F4B6B"/>
    <w:rsid w:val="003F5AB9"/>
    <w:rsid w:val="003F5F8A"/>
    <w:rsid w:val="003F6FC1"/>
    <w:rsid w:val="003F7238"/>
    <w:rsid w:val="003F792F"/>
    <w:rsid w:val="003F7AFC"/>
    <w:rsid w:val="003F7D5C"/>
    <w:rsid w:val="00400297"/>
    <w:rsid w:val="00400D7E"/>
    <w:rsid w:val="0040153D"/>
    <w:rsid w:val="00401C4D"/>
    <w:rsid w:val="004021E4"/>
    <w:rsid w:val="00402262"/>
    <w:rsid w:val="00402449"/>
    <w:rsid w:val="0040298D"/>
    <w:rsid w:val="00403CAD"/>
    <w:rsid w:val="00404953"/>
    <w:rsid w:val="00404F16"/>
    <w:rsid w:val="00405B81"/>
    <w:rsid w:val="00405E2F"/>
    <w:rsid w:val="004061BD"/>
    <w:rsid w:val="0040682C"/>
    <w:rsid w:val="004068A3"/>
    <w:rsid w:val="00406EBD"/>
    <w:rsid w:val="00407280"/>
    <w:rsid w:val="00407F63"/>
    <w:rsid w:val="0041084E"/>
    <w:rsid w:val="004113D1"/>
    <w:rsid w:val="00411CA3"/>
    <w:rsid w:val="004122DF"/>
    <w:rsid w:val="00413356"/>
    <w:rsid w:val="00415BB1"/>
    <w:rsid w:val="00416B56"/>
    <w:rsid w:val="004177F7"/>
    <w:rsid w:val="00417CB8"/>
    <w:rsid w:val="004215AD"/>
    <w:rsid w:val="004217F3"/>
    <w:rsid w:val="00421A06"/>
    <w:rsid w:val="00422C9A"/>
    <w:rsid w:val="00422CEC"/>
    <w:rsid w:val="00422D82"/>
    <w:rsid w:val="004233EE"/>
    <w:rsid w:val="004238DD"/>
    <w:rsid w:val="0042390D"/>
    <w:rsid w:val="00423C20"/>
    <w:rsid w:val="00423C73"/>
    <w:rsid w:val="00423E76"/>
    <w:rsid w:val="00425591"/>
    <w:rsid w:val="004257B5"/>
    <w:rsid w:val="0042597E"/>
    <w:rsid w:val="00425FEF"/>
    <w:rsid w:val="0042639E"/>
    <w:rsid w:val="00426651"/>
    <w:rsid w:val="00426CAF"/>
    <w:rsid w:val="00427293"/>
    <w:rsid w:val="00427765"/>
    <w:rsid w:val="00430212"/>
    <w:rsid w:val="00430E91"/>
    <w:rsid w:val="0043135C"/>
    <w:rsid w:val="00431758"/>
    <w:rsid w:val="00431983"/>
    <w:rsid w:val="00431E04"/>
    <w:rsid w:val="0043255E"/>
    <w:rsid w:val="0043281D"/>
    <w:rsid w:val="00433031"/>
    <w:rsid w:val="004338DA"/>
    <w:rsid w:val="00434C51"/>
    <w:rsid w:val="00435209"/>
    <w:rsid w:val="00435404"/>
    <w:rsid w:val="00435F1B"/>
    <w:rsid w:val="00436651"/>
    <w:rsid w:val="00437A90"/>
    <w:rsid w:val="00440806"/>
    <w:rsid w:val="004412D9"/>
    <w:rsid w:val="0044261C"/>
    <w:rsid w:val="00443606"/>
    <w:rsid w:val="00443934"/>
    <w:rsid w:val="00443D37"/>
    <w:rsid w:val="0044452F"/>
    <w:rsid w:val="00444643"/>
    <w:rsid w:val="00445750"/>
    <w:rsid w:val="00447019"/>
    <w:rsid w:val="00447C5F"/>
    <w:rsid w:val="00450451"/>
    <w:rsid w:val="00450D67"/>
    <w:rsid w:val="004534F2"/>
    <w:rsid w:val="00453D3D"/>
    <w:rsid w:val="00454006"/>
    <w:rsid w:val="004544ED"/>
    <w:rsid w:val="004557A9"/>
    <w:rsid w:val="00455CD0"/>
    <w:rsid w:val="00456AF3"/>
    <w:rsid w:val="004570D3"/>
    <w:rsid w:val="0046030C"/>
    <w:rsid w:val="00461562"/>
    <w:rsid w:val="00461723"/>
    <w:rsid w:val="00461A5D"/>
    <w:rsid w:val="00461EAD"/>
    <w:rsid w:val="00462F59"/>
    <w:rsid w:val="0046395D"/>
    <w:rsid w:val="00463E3E"/>
    <w:rsid w:val="00463EBD"/>
    <w:rsid w:val="00463FFB"/>
    <w:rsid w:val="00464B8E"/>
    <w:rsid w:val="00464E8C"/>
    <w:rsid w:val="00465047"/>
    <w:rsid w:val="004656D4"/>
    <w:rsid w:val="004659C8"/>
    <w:rsid w:val="00465DE1"/>
    <w:rsid w:val="004661F2"/>
    <w:rsid w:val="00466F82"/>
    <w:rsid w:val="004702CF"/>
    <w:rsid w:val="00471122"/>
    <w:rsid w:val="00471316"/>
    <w:rsid w:val="00471331"/>
    <w:rsid w:val="0047251C"/>
    <w:rsid w:val="004728B3"/>
    <w:rsid w:val="00473463"/>
    <w:rsid w:val="00473D84"/>
    <w:rsid w:val="00473F74"/>
    <w:rsid w:val="00473FCD"/>
    <w:rsid w:val="004740F5"/>
    <w:rsid w:val="00474ECE"/>
    <w:rsid w:val="00475795"/>
    <w:rsid w:val="00475D7F"/>
    <w:rsid w:val="00475EB9"/>
    <w:rsid w:val="004761F7"/>
    <w:rsid w:val="0047682D"/>
    <w:rsid w:val="0047695B"/>
    <w:rsid w:val="004769C7"/>
    <w:rsid w:val="004769DA"/>
    <w:rsid w:val="00477041"/>
    <w:rsid w:val="0047716B"/>
    <w:rsid w:val="004773E2"/>
    <w:rsid w:val="0048016A"/>
    <w:rsid w:val="00480EAB"/>
    <w:rsid w:val="00481658"/>
    <w:rsid w:val="004816A3"/>
    <w:rsid w:val="004820E7"/>
    <w:rsid w:val="004829A8"/>
    <w:rsid w:val="00482B15"/>
    <w:rsid w:val="00483EED"/>
    <w:rsid w:val="00484178"/>
    <w:rsid w:val="00485D25"/>
    <w:rsid w:val="0048619D"/>
    <w:rsid w:val="00487278"/>
    <w:rsid w:val="004876A4"/>
    <w:rsid w:val="00490278"/>
    <w:rsid w:val="004904F7"/>
    <w:rsid w:val="00490A21"/>
    <w:rsid w:val="00491324"/>
    <w:rsid w:val="004913BF"/>
    <w:rsid w:val="004916F7"/>
    <w:rsid w:val="00491D52"/>
    <w:rsid w:val="00491EC5"/>
    <w:rsid w:val="004925CC"/>
    <w:rsid w:val="00492DDE"/>
    <w:rsid w:val="00493C16"/>
    <w:rsid w:val="00493DC6"/>
    <w:rsid w:val="0049493F"/>
    <w:rsid w:val="004952A8"/>
    <w:rsid w:val="004954E9"/>
    <w:rsid w:val="00496DBD"/>
    <w:rsid w:val="004973D9"/>
    <w:rsid w:val="00497645"/>
    <w:rsid w:val="0049764B"/>
    <w:rsid w:val="0049790C"/>
    <w:rsid w:val="00497C40"/>
    <w:rsid w:val="004A0DC3"/>
    <w:rsid w:val="004A10C4"/>
    <w:rsid w:val="004A123F"/>
    <w:rsid w:val="004A14B6"/>
    <w:rsid w:val="004A1917"/>
    <w:rsid w:val="004A34C5"/>
    <w:rsid w:val="004A34EB"/>
    <w:rsid w:val="004A4635"/>
    <w:rsid w:val="004A60E8"/>
    <w:rsid w:val="004A65DC"/>
    <w:rsid w:val="004A6682"/>
    <w:rsid w:val="004A78E3"/>
    <w:rsid w:val="004B09D2"/>
    <w:rsid w:val="004B0C31"/>
    <w:rsid w:val="004B1544"/>
    <w:rsid w:val="004B16F8"/>
    <w:rsid w:val="004B1FF3"/>
    <w:rsid w:val="004B2362"/>
    <w:rsid w:val="004B3C33"/>
    <w:rsid w:val="004B4006"/>
    <w:rsid w:val="004B45BB"/>
    <w:rsid w:val="004C0482"/>
    <w:rsid w:val="004C0C50"/>
    <w:rsid w:val="004C0F28"/>
    <w:rsid w:val="004C14F6"/>
    <w:rsid w:val="004C15A2"/>
    <w:rsid w:val="004C1BFF"/>
    <w:rsid w:val="004C2935"/>
    <w:rsid w:val="004C4CC2"/>
    <w:rsid w:val="004C4E8E"/>
    <w:rsid w:val="004C526C"/>
    <w:rsid w:val="004C5273"/>
    <w:rsid w:val="004C5429"/>
    <w:rsid w:val="004C5851"/>
    <w:rsid w:val="004C5F91"/>
    <w:rsid w:val="004C6D90"/>
    <w:rsid w:val="004C70EF"/>
    <w:rsid w:val="004C74F9"/>
    <w:rsid w:val="004C791C"/>
    <w:rsid w:val="004C7920"/>
    <w:rsid w:val="004D0456"/>
    <w:rsid w:val="004D0951"/>
    <w:rsid w:val="004D09F9"/>
    <w:rsid w:val="004D0A37"/>
    <w:rsid w:val="004D1885"/>
    <w:rsid w:val="004D1D79"/>
    <w:rsid w:val="004D2363"/>
    <w:rsid w:val="004D2C9C"/>
    <w:rsid w:val="004D2D49"/>
    <w:rsid w:val="004D2DC1"/>
    <w:rsid w:val="004D33F6"/>
    <w:rsid w:val="004D3B56"/>
    <w:rsid w:val="004D418D"/>
    <w:rsid w:val="004D452D"/>
    <w:rsid w:val="004D562D"/>
    <w:rsid w:val="004D5D24"/>
    <w:rsid w:val="004D65EA"/>
    <w:rsid w:val="004D6F36"/>
    <w:rsid w:val="004D71E3"/>
    <w:rsid w:val="004D7F32"/>
    <w:rsid w:val="004E00B9"/>
    <w:rsid w:val="004E12EC"/>
    <w:rsid w:val="004E1C51"/>
    <w:rsid w:val="004E2345"/>
    <w:rsid w:val="004E27F4"/>
    <w:rsid w:val="004E2C60"/>
    <w:rsid w:val="004E482A"/>
    <w:rsid w:val="004E4D06"/>
    <w:rsid w:val="004E5857"/>
    <w:rsid w:val="004E6E1A"/>
    <w:rsid w:val="004E784E"/>
    <w:rsid w:val="004F1E91"/>
    <w:rsid w:val="004F2341"/>
    <w:rsid w:val="004F2DB6"/>
    <w:rsid w:val="004F324C"/>
    <w:rsid w:val="004F436B"/>
    <w:rsid w:val="004F4663"/>
    <w:rsid w:val="004F4934"/>
    <w:rsid w:val="004F4B80"/>
    <w:rsid w:val="004F4C96"/>
    <w:rsid w:val="004F5273"/>
    <w:rsid w:val="004F5CC7"/>
    <w:rsid w:val="004F5FAA"/>
    <w:rsid w:val="00500437"/>
    <w:rsid w:val="005007AE"/>
    <w:rsid w:val="005008A3"/>
    <w:rsid w:val="00500E96"/>
    <w:rsid w:val="005018AA"/>
    <w:rsid w:val="00502937"/>
    <w:rsid w:val="00503442"/>
    <w:rsid w:val="005036F5"/>
    <w:rsid w:val="00503E35"/>
    <w:rsid w:val="0050564C"/>
    <w:rsid w:val="00505657"/>
    <w:rsid w:val="005059D4"/>
    <w:rsid w:val="00506164"/>
    <w:rsid w:val="00507374"/>
    <w:rsid w:val="005073C5"/>
    <w:rsid w:val="00507CED"/>
    <w:rsid w:val="00507DA7"/>
    <w:rsid w:val="00510051"/>
    <w:rsid w:val="005100A6"/>
    <w:rsid w:val="00511526"/>
    <w:rsid w:val="00511C34"/>
    <w:rsid w:val="005123E3"/>
    <w:rsid w:val="00513227"/>
    <w:rsid w:val="005134D4"/>
    <w:rsid w:val="0051484E"/>
    <w:rsid w:val="00514F80"/>
    <w:rsid w:val="00515127"/>
    <w:rsid w:val="0051611A"/>
    <w:rsid w:val="00516E7C"/>
    <w:rsid w:val="0051761D"/>
    <w:rsid w:val="005178C6"/>
    <w:rsid w:val="0052001E"/>
    <w:rsid w:val="005208FA"/>
    <w:rsid w:val="005210BB"/>
    <w:rsid w:val="005217B9"/>
    <w:rsid w:val="00521894"/>
    <w:rsid w:val="00523035"/>
    <w:rsid w:val="0052340D"/>
    <w:rsid w:val="00523C75"/>
    <w:rsid w:val="00523D47"/>
    <w:rsid w:val="00524958"/>
    <w:rsid w:val="00525376"/>
    <w:rsid w:val="005253FC"/>
    <w:rsid w:val="00525B4E"/>
    <w:rsid w:val="005261BA"/>
    <w:rsid w:val="00526BBC"/>
    <w:rsid w:val="00526D3C"/>
    <w:rsid w:val="00526E15"/>
    <w:rsid w:val="00531D0A"/>
    <w:rsid w:val="00531F7B"/>
    <w:rsid w:val="005328D8"/>
    <w:rsid w:val="00532AC8"/>
    <w:rsid w:val="00533804"/>
    <w:rsid w:val="0053456E"/>
    <w:rsid w:val="00534DCD"/>
    <w:rsid w:val="005357F4"/>
    <w:rsid w:val="00535D3B"/>
    <w:rsid w:val="00536052"/>
    <w:rsid w:val="00536437"/>
    <w:rsid w:val="00537087"/>
    <w:rsid w:val="00537957"/>
    <w:rsid w:val="00537998"/>
    <w:rsid w:val="00540180"/>
    <w:rsid w:val="00540615"/>
    <w:rsid w:val="005406D2"/>
    <w:rsid w:val="005406FA"/>
    <w:rsid w:val="00541D19"/>
    <w:rsid w:val="00541FA6"/>
    <w:rsid w:val="00543540"/>
    <w:rsid w:val="00543583"/>
    <w:rsid w:val="00543648"/>
    <w:rsid w:val="00543C63"/>
    <w:rsid w:val="005454F6"/>
    <w:rsid w:val="00545D82"/>
    <w:rsid w:val="00546CCC"/>
    <w:rsid w:val="005471C0"/>
    <w:rsid w:val="00547865"/>
    <w:rsid w:val="00547DE7"/>
    <w:rsid w:val="00547FF0"/>
    <w:rsid w:val="00550422"/>
    <w:rsid w:val="005524AF"/>
    <w:rsid w:val="00552F0A"/>
    <w:rsid w:val="005532BD"/>
    <w:rsid w:val="00553F01"/>
    <w:rsid w:val="00554941"/>
    <w:rsid w:val="0055581D"/>
    <w:rsid w:val="00555DD3"/>
    <w:rsid w:val="00555E5B"/>
    <w:rsid w:val="005562EF"/>
    <w:rsid w:val="005565B4"/>
    <w:rsid w:val="00556B9E"/>
    <w:rsid w:val="0055789E"/>
    <w:rsid w:val="00557ED1"/>
    <w:rsid w:val="00560609"/>
    <w:rsid w:val="005609E9"/>
    <w:rsid w:val="00560E09"/>
    <w:rsid w:val="00561F0B"/>
    <w:rsid w:val="00562126"/>
    <w:rsid w:val="0056230C"/>
    <w:rsid w:val="00563539"/>
    <w:rsid w:val="00563B03"/>
    <w:rsid w:val="005656D6"/>
    <w:rsid w:val="00565DDC"/>
    <w:rsid w:val="00567B10"/>
    <w:rsid w:val="00567EB2"/>
    <w:rsid w:val="00570F16"/>
    <w:rsid w:val="005710CA"/>
    <w:rsid w:val="00571B7F"/>
    <w:rsid w:val="00571CDD"/>
    <w:rsid w:val="00571ED4"/>
    <w:rsid w:val="0057250B"/>
    <w:rsid w:val="00572F01"/>
    <w:rsid w:val="0057332E"/>
    <w:rsid w:val="0057375F"/>
    <w:rsid w:val="00574FA1"/>
    <w:rsid w:val="00575006"/>
    <w:rsid w:val="005757D8"/>
    <w:rsid w:val="0057589E"/>
    <w:rsid w:val="00576499"/>
    <w:rsid w:val="00576EC2"/>
    <w:rsid w:val="0057758A"/>
    <w:rsid w:val="005800E0"/>
    <w:rsid w:val="005805A7"/>
    <w:rsid w:val="00580617"/>
    <w:rsid w:val="00581495"/>
    <w:rsid w:val="00581EB5"/>
    <w:rsid w:val="00581F9B"/>
    <w:rsid w:val="00582294"/>
    <w:rsid w:val="00582499"/>
    <w:rsid w:val="0058292F"/>
    <w:rsid w:val="0058293A"/>
    <w:rsid w:val="00582A8C"/>
    <w:rsid w:val="00583A75"/>
    <w:rsid w:val="00585AD2"/>
    <w:rsid w:val="00585D00"/>
    <w:rsid w:val="005868AC"/>
    <w:rsid w:val="00590A39"/>
    <w:rsid w:val="00590C3F"/>
    <w:rsid w:val="005912CA"/>
    <w:rsid w:val="00591DB9"/>
    <w:rsid w:val="00592067"/>
    <w:rsid w:val="00593284"/>
    <w:rsid w:val="005935CB"/>
    <w:rsid w:val="00593A6C"/>
    <w:rsid w:val="0059421C"/>
    <w:rsid w:val="005943A2"/>
    <w:rsid w:val="005948ED"/>
    <w:rsid w:val="005950F4"/>
    <w:rsid w:val="0059544A"/>
    <w:rsid w:val="00595DB0"/>
    <w:rsid w:val="00595FD1"/>
    <w:rsid w:val="00596E3D"/>
    <w:rsid w:val="00596E5A"/>
    <w:rsid w:val="00597421"/>
    <w:rsid w:val="00597ADA"/>
    <w:rsid w:val="005A11D5"/>
    <w:rsid w:val="005A1218"/>
    <w:rsid w:val="005A14DE"/>
    <w:rsid w:val="005A1723"/>
    <w:rsid w:val="005A17E6"/>
    <w:rsid w:val="005A2252"/>
    <w:rsid w:val="005A2401"/>
    <w:rsid w:val="005A2760"/>
    <w:rsid w:val="005A322A"/>
    <w:rsid w:val="005A42C0"/>
    <w:rsid w:val="005A4E33"/>
    <w:rsid w:val="005A505D"/>
    <w:rsid w:val="005A57AC"/>
    <w:rsid w:val="005A60A0"/>
    <w:rsid w:val="005A6DEB"/>
    <w:rsid w:val="005A7519"/>
    <w:rsid w:val="005A7B12"/>
    <w:rsid w:val="005B0358"/>
    <w:rsid w:val="005B09D8"/>
    <w:rsid w:val="005B1321"/>
    <w:rsid w:val="005B1799"/>
    <w:rsid w:val="005B26C1"/>
    <w:rsid w:val="005B2B6E"/>
    <w:rsid w:val="005B2D48"/>
    <w:rsid w:val="005B3B59"/>
    <w:rsid w:val="005B48F4"/>
    <w:rsid w:val="005B4CAB"/>
    <w:rsid w:val="005B527E"/>
    <w:rsid w:val="005B55F0"/>
    <w:rsid w:val="005B60F5"/>
    <w:rsid w:val="005B72E0"/>
    <w:rsid w:val="005B7343"/>
    <w:rsid w:val="005B784C"/>
    <w:rsid w:val="005C01E8"/>
    <w:rsid w:val="005C05E1"/>
    <w:rsid w:val="005C1F5B"/>
    <w:rsid w:val="005C2A3D"/>
    <w:rsid w:val="005C3472"/>
    <w:rsid w:val="005C41F8"/>
    <w:rsid w:val="005C434F"/>
    <w:rsid w:val="005C4B66"/>
    <w:rsid w:val="005C5022"/>
    <w:rsid w:val="005C51E4"/>
    <w:rsid w:val="005C5CC9"/>
    <w:rsid w:val="005C6401"/>
    <w:rsid w:val="005C65F0"/>
    <w:rsid w:val="005C6AEC"/>
    <w:rsid w:val="005C6B38"/>
    <w:rsid w:val="005C6D93"/>
    <w:rsid w:val="005C7191"/>
    <w:rsid w:val="005C7493"/>
    <w:rsid w:val="005C779A"/>
    <w:rsid w:val="005C7878"/>
    <w:rsid w:val="005C7F5E"/>
    <w:rsid w:val="005D0037"/>
    <w:rsid w:val="005D043A"/>
    <w:rsid w:val="005D04DF"/>
    <w:rsid w:val="005D04F0"/>
    <w:rsid w:val="005D0746"/>
    <w:rsid w:val="005D0B05"/>
    <w:rsid w:val="005D1256"/>
    <w:rsid w:val="005D13E5"/>
    <w:rsid w:val="005D187B"/>
    <w:rsid w:val="005D269F"/>
    <w:rsid w:val="005D3210"/>
    <w:rsid w:val="005D32F2"/>
    <w:rsid w:val="005D3486"/>
    <w:rsid w:val="005D3646"/>
    <w:rsid w:val="005D3B37"/>
    <w:rsid w:val="005D470D"/>
    <w:rsid w:val="005D607A"/>
    <w:rsid w:val="005D7E74"/>
    <w:rsid w:val="005E1491"/>
    <w:rsid w:val="005E29B9"/>
    <w:rsid w:val="005E29D0"/>
    <w:rsid w:val="005E43EA"/>
    <w:rsid w:val="005E47ED"/>
    <w:rsid w:val="005E4E79"/>
    <w:rsid w:val="005E5726"/>
    <w:rsid w:val="005E5DEF"/>
    <w:rsid w:val="005E6A5C"/>
    <w:rsid w:val="005E7051"/>
    <w:rsid w:val="005E762A"/>
    <w:rsid w:val="005E7FAF"/>
    <w:rsid w:val="005F003E"/>
    <w:rsid w:val="005F06C7"/>
    <w:rsid w:val="005F0E4F"/>
    <w:rsid w:val="005F149F"/>
    <w:rsid w:val="005F1AA3"/>
    <w:rsid w:val="005F1C1F"/>
    <w:rsid w:val="005F2294"/>
    <w:rsid w:val="005F33E3"/>
    <w:rsid w:val="005F43A0"/>
    <w:rsid w:val="005F452C"/>
    <w:rsid w:val="005F4EB7"/>
    <w:rsid w:val="005F5456"/>
    <w:rsid w:val="005F6E2A"/>
    <w:rsid w:val="005F6E6E"/>
    <w:rsid w:val="005F7174"/>
    <w:rsid w:val="005F7CC8"/>
    <w:rsid w:val="005F7DBC"/>
    <w:rsid w:val="005F7ECE"/>
    <w:rsid w:val="006001B2"/>
    <w:rsid w:val="00600714"/>
    <w:rsid w:val="00601346"/>
    <w:rsid w:val="006020D4"/>
    <w:rsid w:val="00602552"/>
    <w:rsid w:val="00602E39"/>
    <w:rsid w:val="006040A4"/>
    <w:rsid w:val="00604E91"/>
    <w:rsid w:val="00606067"/>
    <w:rsid w:val="00606096"/>
    <w:rsid w:val="00606D7B"/>
    <w:rsid w:val="00607603"/>
    <w:rsid w:val="0060776E"/>
    <w:rsid w:val="00607A0A"/>
    <w:rsid w:val="00610419"/>
    <w:rsid w:val="006107B0"/>
    <w:rsid w:val="0061097A"/>
    <w:rsid w:val="00610B4D"/>
    <w:rsid w:val="0061106E"/>
    <w:rsid w:val="00612673"/>
    <w:rsid w:val="00614197"/>
    <w:rsid w:val="0061467A"/>
    <w:rsid w:val="00614871"/>
    <w:rsid w:val="00614CFD"/>
    <w:rsid w:val="00616250"/>
    <w:rsid w:val="00616A06"/>
    <w:rsid w:val="0061710E"/>
    <w:rsid w:val="00617246"/>
    <w:rsid w:val="00617742"/>
    <w:rsid w:val="00617C0F"/>
    <w:rsid w:val="0062004B"/>
    <w:rsid w:val="006208C6"/>
    <w:rsid w:val="00620CE2"/>
    <w:rsid w:val="006212DD"/>
    <w:rsid w:val="006213B2"/>
    <w:rsid w:val="00621D80"/>
    <w:rsid w:val="0062251A"/>
    <w:rsid w:val="00623AD4"/>
    <w:rsid w:val="00625918"/>
    <w:rsid w:val="00626537"/>
    <w:rsid w:val="00626C15"/>
    <w:rsid w:val="00626FF3"/>
    <w:rsid w:val="006271D4"/>
    <w:rsid w:val="00627546"/>
    <w:rsid w:val="0063025E"/>
    <w:rsid w:val="00630566"/>
    <w:rsid w:val="006310EA"/>
    <w:rsid w:val="00631663"/>
    <w:rsid w:val="006317B3"/>
    <w:rsid w:val="00631ADC"/>
    <w:rsid w:val="0063282C"/>
    <w:rsid w:val="00632883"/>
    <w:rsid w:val="0063305A"/>
    <w:rsid w:val="0063317F"/>
    <w:rsid w:val="00633A78"/>
    <w:rsid w:val="00633D2D"/>
    <w:rsid w:val="006350F7"/>
    <w:rsid w:val="0063596B"/>
    <w:rsid w:val="00635C8D"/>
    <w:rsid w:val="00636685"/>
    <w:rsid w:val="006368A7"/>
    <w:rsid w:val="006372CB"/>
    <w:rsid w:val="0063792B"/>
    <w:rsid w:val="00640809"/>
    <w:rsid w:val="00640B7F"/>
    <w:rsid w:val="00641052"/>
    <w:rsid w:val="006424A1"/>
    <w:rsid w:val="00642B9E"/>
    <w:rsid w:val="006434E1"/>
    <w:rsid w:val="00644E64"/>
    <w:rsid w:val="006452C9"/>
    <w:rsid w:val="00645715"/>
    <w:rsid w:val="00646409"/>
    <w:rsid w:val="00647765"/>
    <w:rsid w:val="00647D6C"/>
    <w:rsid w:val="00650092"/>
    <w:rsid w:val="0065095E"/>
    <w:rsid w:val="00650EDD"/>
    <w:rsid w:val="006513B4"/>
    <w:rsid w:val="0065170E"/>
    <w:rsid w:val="00652032"/>
    <w:rsid w:val="006523B9"/>
    <w:rsid w:val="00652D54"/>
    <w:rsid w:val="00652D73"/>
    <w:rsid w:val="006536C6"/>
    <w:rsid w:val="00653720"/>
    <w:rsid w:val="00653D34"/>
    <w:rsid w:val="00653D4F"/>
    <w:rsid w:val="006541E7"/>
    <w:rsid w:val="00655600"/>
    <w:rsid w:val="0065677F"/>
    <w:rsid w:val="00657452"/>
    <w:rsid w:val="006575C7"/>
    <w:rsid w:val="0065763C"/>
    <w:rsid w:val="00660A2D"/>
    <w:rsid w:val="006615EC"/>
    <w:rsid w:val="006617BD"/>
    <w:rsid w:val="00661B3D"/>
    <w:rsid w:val="006630B9"/>
    <w:rsid w:val="0066332E"/>
    <w:rsid w:val="00663B55"/>
    <w:rsid w:val="00664872"/>
    <w:rsid w:val="00664BDB"/>
    <w:rsid w:val="00664FAB"/>
    <w:rsid w:val="00665179"/>
    <w:rsid w:val="006655C2"/>
    <w:rsid w:val="00665AFC"/>
    <w:rsid w:val="00665E85"/>
    <w:rsid w:val="00665EA9"/>
    <w:rsid w:val="00666A80"/>
    <w:rsid w:val="006670DE"/>
    <w:rsid w:val="0067118D"/>
    <w:rsid w:val="00671735"/>
    <w:rsid w:val="00671CCE"/>
    <w:rsid w:val="0067255A"/>
    <w:rsid w:val="00672988"/>
    <w:rsid w:val="00672A38"/>
    <w:rsid w:val="00672AFE"/>
    <w:rsid w:val="00672FBD"/>
    <w:rsid w:val="006736A6"/>
    <w:rsid w:val="006745F6"/>
    <w:rsid w:val="0067555A"/>
    <w:rsid w:val="0067670E"/>
    <w:rsid w:val="006771DE"/>
    <w:rsid w:val="00677A4F"/>
    <w:rsid w:val="0068023A"/>
    <w:rsid w:val="00680F93"/>
    <w:rsid w:val="00681AD9"/>
    <w:rsid w:val="00681E94"/>
    <w:rsid w:val="00682232"/>
    <w:rsid w:val="006827EF"/>
    <w:rsid w:val="0068287C"/>
    <w:rsid w:val="0068327A"/>
    <w:rsid w:val="00683421"/>
    <w:rsid w:val="006834C1"/>
    <w:rsid w:val="0068359D"/>
    <w:rsid w:val="00683B7E"/>
    <w:rsid w:val="0068409F"/>
    <w:rsid w:val="00684338"/>
    <w:rsid w:val="00684CEC"/>
    <w:rsid w:val="006852C8"/>
    <w:rsid w:val="0068564B"/>
    <w:rsid w:val="006856B3"/>
    <w:rsid w:val="00685ADD"/>
    <w:rsid w:val="00686995"/>
    <w:rsid w:val="0068704A"/>
    <w:rsid w:val="00687086"/>
    <w:rsid w:val="00687DF0"/>
    <w:rsid w:val="0069066F"/>
    <w:rsid w:val="00690926"/>
    <w:rsid w:val="00690F09"/>
    <w:rsid w:val="006912AD"/>
    <w:rsid w:val="0069150B"/>
    <w:rsid w:val="00691736"/>
    <w:rsid w:val="00692009"/>
    <w:rsid w:val="00692240"/>
    <w:rsid w:val="00692E7F"/>
    <w:rsid w:val="00693CA0"/>
    <w:rsid w:val="00694BDE"/>
    <w:rsid w:val="00695629"/>
    <w:rsid w:val="00695EA5"/>
    <w:rsid w:val="00697064"/>
    <w:rsid w:val="006977B9"/>
    <w:rsid w:val="006A145D"/>
    <w:rsid w:val="006A1BF2"/>
    <w:rsid w:val="006A1C53"/>
    <w:rsid w:val="006A1EC4"/>
    <w:rsid w:val="006A2732"/>
    <w:rsid w:val="006A32B0"/>
    <w:rsid w:val="006A364C"/>
    <w:rsid w:val="006A3FCD"/>
    <w:rsid w:val="006A49FD"/>
    <w:rsid w:val="006A5204"/>
    <w:rsid w:val="006A524E"/>
    <w:rsid w:val="006A59D0"/>
    <w:rsid w:val="006A78ED"/>
    <w:rsid w:val="006B0197"/>
    <w:rsid w:val="006B01E0"/>
    <w:rsid w:val="006B0700"/>
    <w:rsid w:val="006B0EF1"/>
    <w:rsid w:val="006B102A"/>
    <w:rsid w:val="006B130C"/>
    <w:rsid w:val="006B232E"/>
    <w:rsid w:val="006B2978"/>
    <w:rsid w:val="006B2CD0"/>
    <w:rsid w:val="006B44BA"/>
    <w:rsid w:val="006B51E4"/>
    <w:rsid w:val="006B520F"/>
    <w:rsid w:val="006B5E1D"/>
    <w:rsid w:val="006B6A4C"/>
    <w:rsid w:val="006B6E18"/>
    <w:rsid w:val="006B7924"/>
    <w:rsid w:val="006B7CA5"/>
    <w:rsid w:val="006C04DC"/>
    <w:rsid w:val="006C062F"/>
    <w:rsid w:val="006C11EC"/>
    <w:rsid w:val="006C1B6B"/>
    <w:rsid w:val="006C1B9C"/>
    <w:rsid w:val="006C1E05"/>
    <w:rsid w:val="006C211C"/>
    <w:rsid w:val="006C2305"/>
    <w:rsid w:val="006C3094"/>
    <w:rsid w:val="006C348C"/>
    <w:rsid w:val="006C4525"/>
    <w:rsid w:val="006C479C"/>
    <w:rsid w:val="006C4CD3"/>
    <w:rsid w:val="006C4F45"/>
    <w:rsid w:val="006C596B"/>
    <w:rsid w:val="006C73F8"/>
    <w:rsid w:val="006C7489"/>
    <w:rsid w:val="006D013D"/>
    <w:rsid w:val="006D0C9E"/>
    <w:rsid w:val="006D1277"/>
    <w:rsid w:val="006D1D5F"/>
    <w:rsid w:val="006D1E03"/>
    <w:rsid w:val="006D2B3D"/>
    <w:rsid w:val="006D2C0E"/>
    <w:rsid w:val="006D314B"/>
    <w:rsid w:val="006D4680"/>
    <w:rsid w:val="006D5195"/>
    <w:rsid w:val="006D554F"/>
    <w:rsid w:val="006D5AB4"/>
    <w:rsid w:val="006D5C41"/>
    <w:rsid w:val="006D6F6B"/>
    <w:rsid w:val="006D7015"/>
    <w:rsid w:val="006E0ECB"/>
    <w:rsid w:val="006E187E"/>
    <w:rsid w:val="006E1A2B"/>
    <w:rsid w:val="006E1C00"/>
    <w:rsid w:val="006E1CC4"/>
    <w:rsid w:val="006E26AF"/>
    <w:rsid w:val="006E2A49"/>
    <w:rsid w:val="006E30E3"/>
    <w:rsid w:val="006E484E"/>
    <w:rsid w:val="006E4CA8"/>
    <w:rsid w:val="006E5723"/>
    <w:rsid w:val="006E5754"/>
    <w:rsid w:val="006E5802"/>
    <w:rsid w:val="006E5D01"/>
    <w:rsid w:val="006E6674"/>
    <w:rsid w:val="006E6766"/>
    <w:rsid w:val="006E755E"/>
    <w:rsid w:val="006E76C4"/>
    <w:rsid w:val="006E7843"/>
    <w:rsid w:val="006F0858"/>
    <w:rsid w:val="006F0F8E"/>
    <w:rsid w:val="006F1EF4"/>
    <w:rsid w:val="006F3080"/>
    <w:rsid w:val="006F3947"/>
    <w:rsid w:val="006F440B"/>
    <w:rsid w:val="006F4511"/>
    <w:rsid w:val="006F46B2"/>
    <w:rsid w:val="006F4CA5"/>
    <w:rsid w:val="006F54C3"/>
    <w:rsid w:val="006F5594"/>
    <w:rsid w:val="006F5BA8"/>
    <w:rsid w:val="006F6026"/>
    <w:rsid w:val="006F60E7"/>
    <w:rsid w:val="006F6323"/>
    <w:rsid w:val="006F668B"/>
    <w:rsid w:val="006F7F04"/>
    <w:rsid w:val="00700783"/>
    <w:rsid w:val="007014D1"/>
    <w:rsid w:val="00701757"/>
    <w:rsid w:val="00702A70"/>
    <w:rsid w:val="00702C3E"/>
    <w:rsid w:val="007030AD"/>
    <w:rsid w:val="00703868"/>
    <w:rsid w:val="00703CCB"/>
    <w:rsid w:val="00703D5D"/>
    <w:rsid w:val="007044BF"/>
    <w:rsid w:val="00710688"/>
    <w:rsid w:val="00710BF1"/>
    <w:rsid w:val="00710F2E"/>
    <w:rsid w:val="007118CB"/>
    <w:rsid w:val="007130E5"/>
    <w:rsid w:val="007132D4"/>
    <w:rsid w:val="00713DDA"/>
    <w:rsid w:val="007147B5"/>
    <w:rsid w:val="00714A1D"/>
    <w:rsid w:val="00714C99"/>
    <w:rsid w:val="007153CD"/>
    <w:rsid w:val="00715B84"/>
    <w:rsid w:val="007163A5"/>
    <w:rsid w:val="007178FC"/>
    <w:rsid w:val="00717F34"/>
    <w:rsid w:val="00720A54"/>
    <w:rsid w:val="0072109B"/>
    <w:rsid w:val="00721154"/>
    <w:rsid w:val="007213C0"/>
    <w:rsid w:val="00722044"/>
    <w:rsid w:val="00722093"/>
    <w:rsid w:val="007225AA"/>
    <w:rsid w:val="007226BB"/>
    <w:rsid w:val="007228EF"/>
    <w:rsid w:val="00722ADE"/>
    <w:rsid w:val="00722BCA"/>
    <w:rsid w:val="00722D8B"/>
    <w:rsid w:val="00722F94"/>
    <w:rsid w:val="00723263"/>
    <w:rsid w:val="0072342E"/>
    <w:rsid w:val="00723DED"/>
    <w:rsid w:val="007244E8"/>
    <w:rsid w:val="0072495C"/>
    <w:rsid w:val="0072505F"/>
    <w:rsid w:val="00725E86"/>
    <w:rsid w:val="0072606C"/>
    <w:rsid w:val="0072712C"/>
    <w:rsid w:val="00730181"/>
    <w:rsid w:val="00730224"/>
    <w:rsid w:val="0073037E"/>
    <w:rsid w:val="00730741"/>
    <w:rsid w:val="007307DE"/>
    <w:rsid w:val="00730C47"/>
    <w:rsid w:val="00730ECE"/>
    <w:rsid w:val="00732307"/>
    <w:rsid w:val="00732B94"/>
    <w:rsid w:val="00733617"/>
    <w:rsid w:val="00735571"/>
    <w:rsid w:val="00735E26"/>
    <w:rsid w:val="00736B5A"/>
    <w:rsid w:val="00736F81"/>
    <w:rsid w:val="00740502"/>
    <w:rsid w:val="00740AC0"/>
    <w:rsid w:val="00740EE4"/>
    <w:rsid w:val="00741014"/>
    <w:rsid w:val="0074142B"/>
    <w:rsid w:val="00741847"/>
    <w:rsid w:val="007429C7"/>
    <w:rsid w:val="00742F0D"/>
    <w:rsid w:val="007436BE"/>
    <w:rsid w:val="00743720"/>
    <w:rsid w:val="00743B98"/>
    <w:rsid w:val="00743FBF"/>
    <w:rsid w:val="00744F48"/>
    <w:rsid w:val="00745707"/>
    <w:rsid w:val="00746162"/>
    <w:rsid w:val="00746522"/>
    <w:rsid w:val="00746F9B"/>
    <w:rsid w:val="007474A0"/>
    <w:rsid w:val="0074768B"/>
    <w:rsid w:val="00747CDB"/>
    <w:rsid w:val="00747F44"/>
    <w:rsid w:val="00750227"/>
    <w:rsid w:val="00751943"/>
    <w:rsid w:val="00751AEC"/>
    <w:rsid w:val="00752C08"/>
    <w:rsid w:val="00753251"/>
    <w:rsid w:val="00753D15"/>
    <w:rsid w:val="00754CC5"/>
    <w:rsid w:val="00755267"/>
    <w:rsid w:val="007560D5"/>
    <w:rsid w:val="00756807"/>
    <w:rsid w:val="00756A49"/>
    <w:rsid w:val="00756EFA"/>
    <w:rsid w:val="007613E1"/>
    <w:rsid w:val="00761682"/>
    <w:rsid w:val="00761C96"/>
    <w:rsid w:val="007628CD"/>
    <w:rsid w:val="0076299E"/>
    <w:rsid w:val="00762F29"/>
    <w:rsid w:val="00763169"/>
    <w:rsid w:val="00763BC8"/>
    <w:rsid w:val="00763F70"/>
    <w:rsid w:val="0076439E"/>
    <w:rsid w:val="007650D0"/>
    <w:rsid w:val="00765364"/>
    <w:rsid w:val="0076627D"/>
    <w:rsid w:val="007668CA"/>
    <w:rsid w:val="00766B61"/>
    <w:rsid w:val="00766BA9"/>
    <w:rsid w:val="00766C5A"/>
    <w:rsid w:val="00767D0D"/>
    <w:rsid w:val="00770179"/>
    <w:rsid w:val="007706AB"/>
    <w:rsid w:val="00770856"/>
    <w:rsid w:val="007709B9"/>
    <w:rsid w:val="007713A1"/>
    <w:rsid w:val="00771552"/>
    <w:rsid w:val="00771592"/>
    <w:rsid w:val="0077198B"/>
    <w:rsid w:val="00771A21"/>
    <w:rsid w:val="00772F5D"/>
    <w:rsid w:val="0077351E"/>
    <w:rsid w:val="00773B76"/>
    <w:rsid w:val="007749E6"/>
    <w:rsid w:val="007750EA"/>
    <w:rsid w:val="007753D1"/>
    <w:rsid w:val="00776E3B"/>
    <w:rsid w:val="0077713B"/>
    <w:rsid w:val="00777AB9"/>
    <w:rsid w:val="00780FA5"/>
    <w:rsid w:val="00781353"/>
    <w:rsid w:val="007814E4"/>
    <w:rsid w:val="007819A8"/>
    <w:rsid w:val="00781B7F"/>
    <w:rsid w:val="0078207D"/>
    <w:rsid w:val="00783612"/>
    <w:rsid w:val="00783783"/>
    <w:rsid w:val="00784231"/>
    <w:rsid w:val="00784405"/>
    <w:rsid w:val="0078455A"/>
    <w:rsid w:val="00785E41"/>
    <w:rsid w:val="00786721"/>
    <w:rsid w:val="0078694A"/>
    <w:rsid w:val="00786D79"/>
    <w:rsid w:val="00790DA3"/>
    <w:rsid w:val="00791654"/>
    <w:rsid w:val="0079184A"/>
    <w:rsid w:val="00791909"/>
    <w:rsid w:val="00791DE1"/>
    <w:rsid w:val="007922B9"/>
    <w:rsid w:val="00792344"/>
    <w:rsid w:val="00792A68"/>
    <w:rsid w:val="00792B27"/>
    <w:rsid w:val="00793E96"/>
    <w:rsid w:val="00795C58"/>
    <w:rsid w:val="00795F12"/>
    <w:rsid w:val="00795FA2"/>
    <w:rsid w:val="007972EF"/>
    <w:rsid w:val="00797502"/>
    <w:rsid w:val="007A0DA3"/>
    <w:rsid w:val="007A1FD1"/>
    <w:rsid w:val="007A231E"/>
    <w:rsid w:val="007A2831"/>
    <w:rsid w:val="007A32DE"/>
    <w:rsid w:val="007A379C"/>
    <w:rsid w:val="007A44FB"/>
    <w:rsid w:val="007A45E6"/>
    <w:rsid w:val="007A5C01"/>
    <w:rsid w:val="007A60AA"/>
    <w:rsid w:val="007A7586"/>
    <w:rsid w:val="007A7EE0"/>
    <w:rsid w:val="007A7F5E"/>
    <w:rsid w:val="007B03F8"/>
    <w:rsid w:val="007B0B26"/>
    <w:rsid w:val="007B0CE6"/>
    <w:rsid w:val="007B19CF"/>
    <w:rsid w:val="007B2DE1"/>
    <w:rsid w:val="007B3183"/>
    <w:rsid w:val="007B3543"/>
    <w:rsid w:val="007B387F"/>
    <w:rsid w:val="007B3931"/>
    <w:rsid w:val="007B4A30"/>
    <w:rsid w:val="007B5111"/>
    <w:rsid w:val="007B5498"/>
    <w:rsid w:val="007B591C"/>
    <w:rsid w:val="007B5943"/>
    <w:rsid w:val="007B6296"/>
    <w:rsid w:val="007B710D"/>
    <w:rsid w:val="007B77D3"/>
    <w:rsid w:val="007B7B33"/>
    <w:rsid w:val="007B7C93"/>
    <w:rsid w:val="007B7EDF"/>
    <w:rsid w:val="007C0242"/>
    <w:rsid w:val="007C0644"/>
    <w:rsid w:val="007C14C2"/>
    <w:rsid w:val="007C2458"/>
    <w:rsid w:val="007C26A1"/>
    <w:rsid w:val="007C27CC"/>
    <w:rsid w:val="007C2A6C"/>
    <w:rsid w:val="007C4032"/>
    <w:rsid w:val="007C4FD7"/>
    <w:rsid w:val="007C54A7"/>
    <w:rsid w:val="007C62CA"/>
    <w:rsid w:val="007C6509"/>
    <w:rsid w:val="007C65F6"/>
    <w:rsid w:val="007C6F8F"/>
    <w:rsid w:val="007C7843"/>
    <w:rsid w:val="007C7BAC"/>
    <w:rsid w:val="007D0342"/>
    <w:rsid w:val="007D1894"/>
    <w:rsid w:val="007D19AD"/>
    <w:rsid w:val="007D1EED"/>
    <w:rsid w:val="007D204D"/>
    <w:rsid w:val="007D6051"/>
    <w:rsid w:val="007D6158"/>
    <w:rsid w:val="007D61F9"/>
    <w:rsid w:val="007D7A28"/>
    <w:rsid w:val="007D7E21"/>
    <w:rsid w:val="007D7F4B"/>
    <w:rsid w:val="007E07D3"/>
    <w:rsid w:val="007E0B22"/>
    <w:rsid w:val="007E0BB8"/>
    <w:rsid w:val="007E0D6F"/>
    <w:rsid w:val="007E1533"/>
    <w:rsid w:val="007E169A"/>
    <w:rsid w:val="007E1E45"/>
    <w:rsid w:val="007E35C6"/>
    <w:rsid w:val="007E3607"/>
    <w:rsid w:val="007E406F"/>
    <w:rsid w:val="007E43B1"/>
    <w:rsid w:val="007E4403"/>
    <w:rsid w:val="007E4E43"/>
    <w:rsid w:val="007E544B"/>
    <w:rsid w:val="007E5600"/>
    <w:rsid w:val="007E623B"/>
    <w:rsid w:val="007E653D"/>
    <w:rsid w:val="007E7A5F"/>
    <w:rsid w:val="007F0055"/>
    <w:rsid w:val="007F05EF"/>
    <w:rsid w:val="007F16B9"/>
    <w:rsid w:val="007F2758"/>
    <w:rsid w:val="007F3289"/>
    <w:rsid w:val="007F339C"/>
    <w:rsid w:val="007F3B0F"/>
    <w:rsid w:val="007F3F1E"/>
    <w:rsid w:val="007F5168"/>
    <w:rsid w:val="007F580D"/>
    <w:rsid w:val="007F6347"/>
    <w:rsid w:val="007F64FC"/>
    <w:rsid w:val="007F7378"/>
    <w:rsid w:val="007F7934"/>
    <w:rsid w:val="008004DD"/>
    <w:rsid w:val="008007BE"/>
    <w:rsid w:val="00801437"/>
    <w:rsid w:val="0080155D"/>
    <w:rsid w:val="00801B97"/>
    <w:rsid w:val="00801C7B"/>
    <w:rsid w:val="0080226F"/>
    <w:rsid w:val="008022A0"/>
    <w:rsid w:val="008025C2"/>
    <w:rsid w:val="008027D9"/>
    <w:rsid w:val="00802883"/>
    <w:rsid w:val="008028B6"/>
    <w:rsid w:val="00802E77"/>
    <w:rsid w:val="008033C2"/>
    <w:rsid w:val="00803CD6"/>
    <w:rsid w:val="00803E7A"/>
    <w:rsid w:val="008048A9"/>
    <w:rsid w:val="00804A19"/>
    <w:rsid w:val="00804C19"/>
    <w:rsid w:val="00805958"/>
    <w:rsid w:val="00805DE0"/>
    <w:rsid w:val="0080614B"/>
    <w:rsid w:val="0080744C"/>
    <w:rsid w:val="00810F16"/>
    <w:rsid w:val="00811864"/>
    <w:rsid w:val="00811CA7"/>
    <w:rsid w:val="008121FD"/>
    <w:rsid w:val="00812391"/>
    <w:rsid w:val="00812510"/>
    <w:rsid w:val="008126F2"/>
    <w:rsid w:val="00812940"/>
    <w:rsid w:val="0081295C"/>
    <w:rsid w:val="00812DF3"/>
    <w:rsid w:val="00813089"/>
    <w:rsid w:val="00813517"/>
    <w:rsid w:val="00813986"/>
    <w:rsid w:val="008145F3"/>
    <w:rsid w:val="00814877"/>
    <w:rsid w:val="00814BA2"/>
    <w:rsid w:val="00814FE3"/>
    <w:rsid w:val="00815287"/>
    <w:rsid w:val="00816274"/>
    <w:rsid w:val="00816A31"/>
    <w:rsid w:val="008170CE"/>
    <w:rsid w:val="00817265"/>
    <w:rsid w:val="0081747F"/>
    <w:rsid w:val="008201B1"/>
    <w:rsid w:val="00820651"/>
    <w:rsid w:val="0082175D"/>
    <w:rsid w:val="00821CA4"/>
    <w:rsid w:val="00821F11"/>
    <w:rsid w:val="008223BF"/>
    <w:rsid w:val="00822C22"/>
    <w:rsid w:val="00823503"/>
    <w:rsid w:val="008235DB"/>
    <w:rsid w:val="00823DC5"/>
    <w:rsid w:val="0082567E"/>
    <w:rsid w:val="008256DE"/>
    <w:rsid w:val="00825B2E"/>
    <w:rsid w:val="00826C7C"/>
    <w:rsid w:val="008275E4"/>
    <w:rsid w:val="008275F2"/>
    <w:rsid w:val="00827922"/>
    <w:rsid w:val="00827CED"/>
    <w:rsid w:val="00830111"/>
    <w:rsid w:val="0083065A"/>
    <w:rsid w:val="00830723"/>
    <w:rsid w:val="008309E1"/>
    <w:rsid w:val="00830ACD"/>
    <w:rsid w:val="00832BEB"/>
    <w:rsid w:val="00832CCA"/>
    <w:rsid w:val="008352F8"/>
    <w:rsid w:val="008358B4"/>
    <w:rsid w:val="00835B02"/>
    <w:rsid w:val="00835FA5"/>
    <w:rsid w:val="0083604C"/>
    <w:rsid w:val="00836173"/>
    <w:rsid w:val="00836C46"/>
    <w:rsid w:val="00836F34"/>
    <w:rsid w:val="00837407"/>
    <w:rsid w:val="00837627"/>
    <w:rsid w:val="00837861"/>
    <w:rsid w:val="00841B40"/>
    <w:rsid w:val="00841FA7"/>
    <w:rsid w:val="008422C6"/>
    <w:rsid w:val="0084267A"/>
    <w:rsid w:val="00842E90"/>
    <w:rsid w:val="00844050"/>
    <w:rsid w:val="00844056"/>
    <w:rsid w:val="008449C2"/>
    <w:rsid w:val="00844DCF"/>
    <w:rsid w:val="00847374"/>
    <w:rsid w:val="008503EC"/>
    <w:rsid w:val="00850486"/>
    <w:rsid w:val="008505BF"/>
    <w:rsid w:val="008508FF"/>
    <w:rsid w:val="00850EC1"/>
    <w:rsid w:val="0085155B"/>
    <w:rsid w:val="00851CD0"/>
    <w:rsid w:val="00851FB9"/>
    <w:rsid w:val="008522AE"/>
    <w:rsid w:val="00852822"/>
    <w:rsid w:val="008529E1"/>
    <w:rsid w:val="00852A7A"/>
    <w:rsid w:val="00853FC7"/>
    <w:rsid w:val="0085412E"/>
    <w:rsid w:val="00854BE2"/>
    <w:rsid w:val="0085653C"/>
    <w:rsid w:val="00857008"/>
    <w:rsid w:val="008600B7"/>
    <w:rsid w:val="00860DAB"/>
    <w:rsid w:val="0086137D"/>
    <w:rsid w:val="00861BF4"/>
    <w:rsid w:val="0086244C"/>
    <w:rsid w:val="008625FB"/>
    <w:rsid w:val="00863318"/>
    <w:rsid w:val="008634B3"/>
    <w:rsid w:val="008635A5"/>
    <w:rsid w:val="0086393D"/>
    <w:rsid w:val="00863DC0"/>
    <w:rsid w:val="00863E3E"/>
    <w:rsid w:val="00864C05"/>
    <w:rsid w:val="00865389"/>
    <w:rsid w:val="008654E9"/>
    <w:rsid w:val="00865C1C"/>
    <w:rsid w:val="00866AA6"/>
    <w:rsid w:val="00870A77"/>
    <w:rsid w:val="00870EB1"/>
    <w:rsid w:val="008720FC"/>
    <w:rsid w:val="00872A91"/>
    <w:rsid w:val="00872E29"/>
    <w:rsid w:val="00873983"/>
    <w:rsid w:val="008744DC"/>
    <w:rsid w:val="00874530"/>
    <w:rsid w:val="0087456B"/>
    <w:rsid w:val="00874A67"/>
    <w:rsid w:val="00875939"/>
    <w:rsid w:val="00876317"/>
    <w:rsid w:val="00876388"/>
    <w:rsid w:val="00876EF6"/>
    <w:rsid w:val="00877A24"/>
    <w:rsid w:val="008803BC"/>
    <w:rsid w:val="0088053C"/>
    <w:rsid w:val="0088083B"/>
    <w:rsid w:val="008816B5"/>
    <w:rsid w:val="00881929"/>
    <w:rsid w:val="0088192B"/>
    <w:rsid w:val="0088245F"/>
    <w:rsid w:val="0088451B"/>
    <w:rsid w:val="0088455A"/>
    <w:rsid w:val="008847A5"/>
    <w:rsid w:val="0088523E"/>
    <w:rsid w:val="00885B03"/>
    <w:rsid w:val="00885CA8"/>
    <w:rsid w:val="00885DB5"/>
    <w:rsid w:val="00886157"/>
    <w:rsid w:val="0088619A"/>
    <w:rsid w:val="00886A1D"/>
    <w:rsid w:val="00886ECD"/>
    <w:rsid w:val="00886ED6"/>
    <w:rsid w:val="00891799"/>
    <w:rsid w:val="008924BF"/>
    <w:rsid w:val="008933DC"/>
    <w:rsid w:val="008943C0"/>
    <w:rsid w:val="008945A5"/>
    <w:rsid w:val="0089511F"/>
    <w:rsid w:val="00895A30"/>
    <w:rsid w:val="00895E2C"/>
    <w:rsid w:val="00897116"/>
    <w:rsid w:val="0089772A"/>
    <w:rsid w:val="008A026A"/>
    <w:rsid w:val="008A0D9E"/>
    <w:rsid w:val="008A108D"/>
    <w:rsid w:val="008A1198"/>
    <w:rsid w:val="008A12A5"/>
    <w:rsid w:val="008A1616"/>
    <w:rsid w:val="008A1804"/>
    <w:rsid w:val="008A1F8E"/>
    <w:rsid w:val="008A23B7"/>
    <w:rsid w:val="008A29CB"/>
    <w:rsid w:val="008A2A97"/>
    <w:rsid w:val="008A2F6D"/>
    <w:rsid w:val="008A385C"/>
    <w:rsid w:val="008A4558"/>
    <w:rsid w:val="008A4D16"/>
    <w:rsid w:val="008A5399"/>
    <w:rsid w:val="008A57ED"/>
    <w:rsid w:val="008A6663"/>
    <w:rsid w:val="008A7069"/>
    <w:rsid w:val="008A7148"/>
    <w:rsid w:val="008B045A"/>
    <w:rsid w:val="008B09FC"/>
    <w:rsid w:val="008B10C7"/>
    <w:rsid w:val="008B1195"/>
    <w:rsid w:val="008B1774"/>
    <w:rsid w:val="008B1A92"/>
    <w:rsid w:val="008B1D16"/>
    <w:rsid w:val="008B2BD2"/>
    <w:rsid w:val="008B2F53"/>
    <w:rsid w:val="008B32C8"/>
    <w:rsid w:val="008B46FC"/>
    <w:rsid w:val="008B526C"/>
    <w:rsid w:val="008B5BD9"/>
    <w:rsid w:val="008B5D01"/>
    <w:rsid w:val="008B6005"/>
    <w:rsid w:val="008B6392"/>
    <w:rsid w:val="008B6761"/>
    <w:rsid w:val="008B687B"/>
    <w:rsid w:val="008B6A90"/>
    <w:rsid w:val="008B6FA6"/>
    <w:rsid w:val="008B748F"/>
    <w:rsid w:val="008C062F"/>
    <w:rsid w:val="008C0D6B"/>
    <w:rsid w:val="008C13B9"/>
    <w:rsid w:val="008C1421"/>
    <w:rsid w:val="008C1AD3"/>
    <w:rsid w:val="008C21B8"/>
    <w:rsid w:val="008C3113"/>
    <w:rsid w:val="008C414A"/>
    <w:rsid w:val="008C4353"/>
    <w:rsid w:val="008C4AC9"/>
    <w:rsid w:val="008C53E5"/>
    <w:rsid w:val="008C615E"/>
    <w:rsid w:val="008C64ED"/>
    <w:rsid w:val="008C6771"/>
    <w:rsid w:val="008C69E5"/>
    <w:rsid w:val="008C743D"/>
    <w:rsid w:val="008C758E"/>
    <w:rsid w:val="008C7D7E"/>
    <w:rsid w:val="008C7EA1"/>
    <w:rsid w:val="008D0493"/>
    <w:rsid w:val="008D1B70"/>
    <w:rsid w:val="008D208A"/>
    <w:rsid w:val="008D230A"/>
    <w:rsid w:val="008D3021"/>
    <w:rsid w:val="008D3B0C"/>
    <w:rsid w:val="008D3CDD"/>
    <w:rsid w:val="008D3F91"/>
    <w:rsid w:val="008D44AF"/>
    <w:rsid w:val="008D540C"/>
    <w:rsid w:val="008D5B93"/>
    <w:rsid w:val="008D6456"/>
    <w:rsid w:val="008D6498"/>
    <w:rsid w:val="008D68FD"/>
    <w:rsid w:val="008D74D8"/>
    <w:rsid w:val="008D75BF"/>
    <w:rsid w:val="008D781B"/>
    <w:rsid w:val="008D7872"/>
    <w:rsid w:val="008D79CE"/>
    <w:rsid w:val="008E11C2"/>
    <w:rsid w:val="008E1399"/>
    <w:rsid w:val="008E186F"/>
    <w:rsid w:val="008E1D02"/>
    <w:rsid w:val="008E3207"/>
    <w:rsid w:val="008E3227"/>
    <w:rsid w:val="008E37C5"/>
    <w:rsid w:val="008E384E"/>
    <w:rsid w:val="008E3BCF"/>
    <w:rsid w:val="008E3F65"/>
    <w:rsid w:val="008E401A"/>
    <w:rsid w:val="008E451C"/>
    <w:rsid w:val="008E45A9"/>
    <w:rsid w:val="008E4AFB"/>
    <w:rsid w:val="008E4B35"/>
    <w:rsid w:val="008E5508"/>
    <w:rsid w:val="008E555D"/>
    <w:rsid w:val="008E56E5"/>
    <w:rsid w:val="008E5FBE"/>
    <w:rsid w:val="008E62A7"/>
    <w:rsid w:val="008E67B7"/>
    <w:rsid w:val="008E6935"/>
    <w:rsid w:val="008E6A39"/>
    <w:rsid w:val="008F0039"/>
    <w:rsid w:val="008F06F9"/>
    <w:rsid w:val="008F0707"/>
    <w:rsid w:val="008F0CA0"/>
    <w:rsid w:val="008F1686"/>
    <w:rsid w:val="008F17DB"/>
    <w:rsid w:val="008F1802"/>
    <w:rsid w:val="008F29B5"/>
    <w:rsid w:val="008F3427"/>
    <w:rsid w:val="008F40B5"/>
    <w:rsid w:val="008F40C7"/>
    <w:rsid w:val="008F477B"/>
    <w:rsid w:val="008F5878"/>
    <w:rsid w:val="008F58DA"/>
    <w:rsid w:val="008F5B9C"/>
    <w:rsid w:val="008F5EF4"/>
    <w:rsid w:val="008F62C7"/>
    <w:rsid w:val="008F67C5"/>
    <w:rsid w:val="008F68E5"/>
    <w:rsid w:val="008F6A31"/>
    <w:rsid w:val="008F7CE1"/>
    <w:rsid w:val="00900B92"/>
    <w:rsid w:val="00900F08"/>
    <w:rsid w:val="009010DF"/>
    <w:rsid w:val="009012CC"/>
    <w:rsid w:val="0090135E"/>
    <w:rsid w:val="00902F78"/>
    <w:rsid w:val="0090301B"/>
    <w:rsid w:val="009047D6"/>
    <w:rsid w:val="00905812"/>
    <w:rsid w:val="00905BAE"/>
    <w:rsid w:val="00906318"/>
    <w:rsid w:val="00907633"/>
    <w:rsid w:val="00910677"/>
    <w:rsid w:val="009115FE"/>
    <w:rsid w:val="009116D4"/>
    <w:rsid w:val="009138DB"/>
    <w:rsid w:val="00913B02"/>
    <w:rsid w:val="00913B5D"/>
    <w:rsid w:val="009147E5"/>
    <w:rsid w:val="00915131"/>
    <w:rsid w:val="009202D8"/>
    <w:rsid w:val="00920552"/>
    <w:rsid w:val="009208EB"/>
    <w:rsid w:val="00920B20"/>
    <w:rsid w:val="00921329"/>
    <w:rsid w:val="00921BC5"/>
    <w:rsid w:val="00921C68"/>
    <w:rsid w:val="00922436"/>
    <w:rsid w:val="00922CF2"/>
    <w:rsid w:val="00922DD5"/>
    <w:rsid w:val="0092373C"/>
    <w:rsid w:val="009238D7"/>
    <w:rsid w:val="00923C35"/>
    <w:rsid w:val="00923F77"/>
    <w:rsid w:val="009240F3"/>
    <w:rsid w:val="009242EC"/>
    <w:rsid w:val="009243BE"/>
    <w:rsid w:val="00924BE3"/>
    <w:rsid w:val="00924D6D"/>
    <w:rsid w:val="00924E67"/>
    <w:rsid w:val="00925243"/>
    <w:rsid w:val="009263A6"/>
    <w:rsid w:val="00926428"/>
    <w:rsid w:val="0092661E"/>
    <w:rsid w:val="009266A2"/>
    <w:rsid w:val="00927527"/>
    <w:rsid w:val="0092786C"/>
    <w:rsid w:val="00927D5A"/>
    <w:rsid w:val="00930CD7"/>
    <w:rsid w:val="00930CE2"/>
    <w:rsid w:val="00931270"/>
    <w:rsid w:val="009318BE"/>
    <w:rsid w:val="0093212F"/>
    <w:rsid w:val="00932318"/>
    <w:rsid w:val="0093289C"/>
    <w:rsid w:val="00932940"/>
    <w:rsid w:val="009348C6"/>
    <w:rsid w:val="00935E6F"/>
    <w:rsid w:val="00936DB4"/>
    <w:rsid w:val="00937B3A"/>
    <w:rsid w:val="00937B8A"/>
    <w:rsid w:val="00937EFF"/>
    <w:rsid w:val="00940270"/>
    <w:rsid w:val="00940429"/>
    <w:rsid w:val="0094071B"/>
    <w:rsid w:val="00940EBF"/>
    <w:rsid w:val="00941F8D"/>
    <w:rsid w:val="00943297"/>
    <w:rsid w:val="0094475C"/>
    <w:rsid w:val="00945FBF"/>
    <w:rsid w:val="0094612F"/>
    <w:rsid w:val="009479BA"/>
    <w:rsid w:val="00947E1B"/>
    <w:rsid w:val="00950036"/>
    <w:rsid w:val="00950A48"/>
    <w:rsid w:val="0095221E"/>
    <w:rsid w:val="00952248"/>
    <w:rsid w:val="0095277D"/>
    <w:rsid w:val="00953474"/>
    <w:rsid w:val="00953836"/>
    <w:rsid w:val="00953845"/>
    <w:rsid w:val="00953B7C"/>
    <w:rsid w:val="00953D64"/>
    <w:rsid w:val="009545BF"/>
    <w:rsid w:val="009547C0"/>
    <w:rsid w:val="009553F1"/>
    <w:rsid w:val="009555C0"/>
    <w:rsid w:val="00956758"/>
    <w:rsid w:val="00956F5E"/>
    <w:rsid w:val="0095751F"/>
    <w:rsid w:val="00957E5D"/>
    <w:rsid w:val="00960272"/>
    <w:rsid w:val="009604CF"/>
    <w:rsid w:val="009608FC"/>
    <w:rsid w:val="00960FA1"/>
    <w:rsid w:val="00961121"/>
    <w:rsid w:val="00961446"/>
    <w:rsid w:val="0096152A"/>
    <w:rsid w:val="009618E3"/>
    <w:rsid w:val="00962591"/>
    <w:rsid w:val="009634B5"/>
    <w:rsid w:val="0096427F"/>
    <w:rsid w:val="00964782"/>
    <w:rsid w:val="00964C8B"/>
    <w:rsid w:val="00964D36"/>
    <w:rsid w:val="009651C5"/>
    <w:rsid w:val="009652F3"/>
    <w:rsid w:val="009659ED"/>
    <w:rsid w:val="00966523"/>
    <w:rsid w:val="0096674F"/>
    <w:rsid w:val="00967B59"/>
    <w:rsid w:val="00970AA4"/>
    <w:rsid w:val="00971553"/>
    <w:rsid w:val="00971734"/>
    <w:rsid w:val="00971C6A"/>
    <w:rsid w:val="009728E9"/>
    <w:rsid w:val="00972EA0"/>
    <w:rsid w:val="00973913"/>
    <w:rsid w:val="00973E7C"/>
    <w:rsid w:val="00975263"/>
    <w:rsid w:val="0097628D"/>
    <w:rsid w:val="00976A69"/>
    <w:rsid w:val="00980316"/>
    <w:rsid w:val="00981558"/>
    <w:rsid w:val="009827BC"/>
    <w:rsid w:val="00982A9C"/>
    <w:rsid w:val="00983556"/>
    <w:rsid w:val="0098392D"/>
    <w:rsid w:val="00983C55"/>
    <w:rsid w:val="009848CC"/>
    <w:rsid w:val="00984E9C"/>
    <w:rsid w:val="009859C7"/>
    <w:rsid w:val="00985CF2"/>
    <w:rsid w:val="009861BB"/>
    <w:rsid w:val="00986436"/>
    <w:rsid w:val="009865E6"/>
    <w:rsid w:val="009868EF"/>
    <w:rsid w:val="00990CEC"/>
    <w:rsid w:val="00991176"/>
    <w:rsid w:val="00991197"/>
    <w:rsid w:val="009918E3"/>
    <w:rsid w:val="0099199B"/>
    <w:rsid w:val="00991B07"/>
    <w:rsid w:val="00991D1F"/>
    <w:rsid w:val="009922E7"/>
    <w:rsid w:val="00993831"/>
    <w:rsid w:val="00994AA8"/>
    <w:rsid w:val="00994F8A"/>
    <w:rsid w:val="00995FB2"/>
    <w:rsid w:val="009A0166"/>
    <w:rsid w:val="009A0E73"/>
    <w:rsid w:val="009A1564"/>
    <w:rsid w:val="009A2694"/>
    <w:rsid w:val="009A279A"/>
    <w:rsid w:val="009A2C5E"/>
    <w:rsid w:val="009A2E75"/>
    <w:rsid w:val="009A2E81"/>
    <w:rsid w:val="009A32F5"/>
    <w:rsid w:val="009A3DA2"/>
    <w:rsid w:val="009A4433"/>
    <w:rsid w:val="009A48B7"/>
    <w:rsid w:val="009A4914"/>
    <w:rsid w:val="009A599D"/>
    <w:rsid w:val="009A5B3E"/>
    <w:rsid w:val="009A63EA"/>
    <w:rsid w:val="009A6CD5"/>
    <w:rsid w:val="009A7E9B"/>
    <w:rsid w:val="009B0140"/>
    <w:rsid w:val="009B01AE"/>
    <w:rsid w:val="009B0D8B"/>
    <w:rsid w:val="009B0F95"/>
    <w:rsid w:val="009B1332"/>
    <w:rsid w:val="009B2296"/>
    <w:rsid w:val="009B28E0"/>
    <w:rsid w:val="009B2B73"/>
    <w:rsid w:val="009B3453"/>
    <w:rsid w:val="009B34E7"/>
    <w:rsid w:val="009B3BED"/>
    <w:rsid w:val="009B4A3B"/>
    <w:rsid w:val="009B5EA4"/>
    <w:rsid w:val="009B61B7"/>
    <w:rsid w:val="009B6787"/>
    <w:rsid w:val="009B6CF9"/>
    <w:rsid w:val="009B717E"/>
    <w:rsid w:val="009B7E91"/>
    <w:rsid w:val="009C0952"/>
    <w:rsid w:val="009C14B3"/>
    <w:rsid w:val="009C18D3"/>
    <w:rsid w:val="009C1CA3"/>
    <w:rsid w:val="009C21FE"/>
    <w:rsid w:val="009C30BF"/>
    <w:rsid w:val="009C3328"/>
    <w:rsid w:val="009C35FA"/>
    <w:rsid w:val="009C4983"/>
    <w:rsid w:val="009C520D"/>
    <w:rsid w:val="009C5803"/>
    <w:rsid w:val="009C58F6"/>
    <w:rsid w:val="009C5DFE"/>
    <w:rsid w:val="009C636B"/>
    <w:rsid w:val="009C7C29"/>
    <w:rsid w:val="009D02DF"/>
    <w:rsid w:val="009D046D"/>
    <w:rsid w:val="009D0E6D"/>
    <w:rsid w:val="009D0FC5"/>
    <w:rsid w:val="009D114F"/>
    <w:rsid w:val="009D1475"/>
    <w:rsid w:val="009D14E8"/>
    <w:rsid w:val="009D16DF"/>
    <w:rsid w:val="009D1713"/>
    <w:rsid w:val="009D2007"/>
    <w:rsid w:val="009D28CA"/>
    <w:rsid w:val="009D2CB1"/>
    <w:rsid w:val="009D3CFE"/>
    <w:rsid w:val="009D629C"/>
    <w:rsid w:val="009E09F8"/>
    <w:rsid w:val="009E119E"/>
    <w:rsid w:val="009E1281"/>
    <w:rsid w:val="009E135C"/>
    <w:rsid w:val="009E1E21"/>
    <w:rsid w:val="009E201A"/>
    <w:rsid w:val="009E2376"/>
    <w:rsid w:val="009E33BB"/>
    <w:rsid w:val="009E3AEC"/>
    <w:rsid w:val="009E3D37"/>
    <w:rsid w:val="009E457C"/>
    <w:rsid w:val="009E4895"/>
    <w:rsid w:val="009E5488"/>
    <w:rsid w:val="009E5FF8"/>
    <w:rsid w:val="009E709D"/>
    <w:rsid w:val="009E7497"/>
    <w:rsid w:val="009E7596"/>
    <w:rsid w:val="009E795C"/>
    <w:rsid w:val="009E79C7"/>
    <w:rsid w:val="009F0196"/>
    <w:rsid w:val="009F1771"/>
    <w:rsid w:val="009F252B"/>
    <w:rsid w:val="009F2D34"/>
    <w:rsid w:val="009F44B3"/>
    <w:rsid w:val="009F4738"/>
    <w:rsid w:val="009F4A74"/>
    <w:rsid w:val="009F5128"/>
    <w:rsid w:val="009F536F"/>
    <w:rsid w:val="009F62A8"/>
    <w:rsid w:val="009F6352"/>
    <w:rsid w:val="009F6659"/>
    <w:rsid w:val="009F6766"/>
    <w:rsid w:val="009F6A8C"/>
    <w:rsid w:val="009F7959"/>
    <w:rsid w:val="009F7CBB"/>
    <w:rsid w:val="00A01611"/>
    <w:rsid w:val="00A01A58"/>
    <w:rsid w:val="00A01BD2"/>
    <w:rsid w:val="00A01CB9"/>
    <w:rsid w:val="00A024A0"/>
    <w:rsid w:val="00A024B7"/>
    <w:rsid w:val="00A02620"/>
    <w:rsid w:val="00A0270E"/>
    <w:rsid w:val="00A028DB"/>
    <w:rsid w:val="00A029F7"/>
    <w:rsid w:val="00A02E4E"/>
    <w:rsid w:val="00A03928"/>
    <w:rsid w:val="00A039B5"/>
    <w:rsid w:val="00A0423A"/>
    <w:rsid w:val="00A047C8"/>
    <w:rsid w:val="00A04987"/>
    <w:rsid w:val="00A04C33"/>
    <w:rsid w:val="00A04EF1"/>
    <w:rsid w:val="00A05141"/>
    <w:rsid w:val="00A05AC8"/>
    <w:rsid w:val="00A06961"/>
    <w:rsid w:val="00A109FB"/>
    <w:rsid w:val="00A11A29"/>
    <w:rsid w:val="00A12685"/>
    <w:rsid w:val="00A13299"/>
    <w:rsid w:val="00A14604"/>
    <w:rsid w:val="00A152DC"/>
    <w:rsid w:val="00A15D38"/>
    <w:rsid w:val="00A16FA3"/>
    <w:rsid w:val="00A17192"/>
    <w:rsid w:val="00A20275"/>
    <w:rsid w:val="00A2072C"/>
    <w:rsid w:val="00A20D8B"/>
    <w:rsid w:val="00A2139E"/>
    <w:rsid w:val="00A21E75"/>
    <w:rsid w:val="00A226DA"/>
    <w:rsid w:val="00A22C38"/>
    <w:rsid w:val="00A23252"/>
    <w:rsid w:val="00A2354C"/>
    <w:rsid w:val="00A2361B"/>
    <w:rsid w:val="00A2388C"/>
    <w:rsid w:val="00A239D9"/>
    <w:rsid w:val="00A24095"/>
    <w:rsid w:val="00A24235"/>
    <w:rsid w:val="00A243B1"/>
    <w:rsid w:val="00A24784"/>
    <w:rsid w:val="00A24D6F"/>
    <w:rsid w:val="00A252AC"/>
    <w:rsid w:val="00A25456"/>
    <w:rsid w:val="00A25C08"/>
    <w:rsid w:val="00A26488"/>
    <w:rsid w:val="00A264A7"/>
    <w:rsid w:val="00A26F39"/>
    <w:rsid w:val="00A271DC"/>
    <w:rsid w:val="00A279EE"/>
    <w:rsid w:val="00A3020C"/>
    <w:rsid w:val="00A30BD2"/>
    <w:rsid w:val="00A315B0"/>
    <w:rsid w:val="00A315B2"/>
    <w:rsid w:val="00A315F6"/>
    <w:rsid w:val="00A32A4C"/>
    <w:rsid w:val="00A334CF"/>
    <w:rsid w:val="00A337E2"/>
    <w:rsid w:val="00A33CA5"/>
    <w:rsid w:val="00A33F08"/>
    <w:rsid w:val="00A35839"/>
    <w:rsid w:val="00A36BA3"/>
    <w:rsid w:val="00A36DEF"/>
    <w:rsid w:val="00A405D5"/>
    <w:rsid w:val="00A40E0C"/>
    <w:rsid w:val="00A4125A"/>
    <w:rsid w:val="00A41D14"/>
    <w:rsid w:val="00A44037"/>
    <w:rsid w:val="00A44A6D"/>
    <w:rsid w:val="00A44A74"/>
    <w:rsid w:val="00A4504F"/>
    <w:rsid w:val="00A4509B"/>
    <w:rsid w:val="00A459FC"/>
    <w:rsid w:val="00A4722E"/>
    <w:rsid w:val="00A478B3"/>
    <w:rsid w:val="00A505C5"/>
    <w:rsid w:val="00A510AD"/>
    <w:rsid w:val="00A513AE"/>
    <w:rsid w:val="00A513B9"/>
    <w:rsid w:val="00A51C0F"/>
    <w:rsid w:val="00A52F49"/>
    <w:rsid w:val="00A53C0E"/>
    <w:rsid w:val="00A53D59"/>
    <w:rsid w:val="00A53E80"/>
    <w:rsid w:val="00A541A7"/>
    <w:rsid w:val="00A542BD"/>
    <w:rsid w:val="00A544F1"/>
    <w:rsid w:val="00A54D72"/>
    <w:rsid w:val="00A550F5"/>
    <w:rsid w:val="00A55BFE"/>
    <w:rsid w:val="00A56652"/>
    <w:rsid w:val="00A57573"/>
    <w:rsid w:val="00A576B7"/>
    <w:rsid w:val="00A57D6B"/>
    <w:rsid w:val="00A57E42"/>
    <w:rsid w:val="00A607D5"/>
    <w:rsid w:val="00A6093E"/>
    <w:rsid w:val="00A60FEC"/>
    <w:rsid w:val="00A61136"/>
    <w:rsid w:val="00A61280"/>
    <w:rsid w:val="00A614EC"/>
    <w:rsid w:val="00A615FA"/>
    <w:rsid w:val="00A61691"/>
    <w:rsid w:val="00A62624"/>
    <w:rsid w:val="00A62C84"/>
    <w:rsid w:val="00A63408"/>
    <w:rsid w:val="00A63718"/>
    <w:rsid w:val="00A63DCA"/>
    <w:rsid w:val="00A64129"/>
    <w:rsid w:val="00A656AC"/>
    <w:rsid w:val="00A65892"/>
    <w:rsid w:val="00A65CBA"/>
    <w:rsid w:val="00A65D37"/>
    <w:rsid w:val="00A66C5B"/>
    <w:rsid w:val="00A67331"/>
    <w:rsid w:val="00A67AF0"/>
    <w:rsid w:val="00A70C30"/>
    <w:rsid w:val="00A715BE"/>
    <w:rsid w:val="00A719C1"/>
    <w:rsid w:val="00A72396"/>
    <w:rsid w:val="00A7254F"/>
    <w:rsid w:val="00A7323F"/>
    <w:rsid w:val="00A73A7A"/>
    <w:rsid w:val="00A73A8A"/>
    <w:rsid w:val="00A74432"/>
    <w:rsid w:val="00A75142"/>
    <w:rsid w:val="00A757FD"/>
    <w:rsid w:val="00A75960"/>
    <w:rsid w:val="00A75FEA"/>
    <w:rsid w:val="00A76864"/>
    <w:rsid w:val="00A769EE"/>
    <w:rsid w:val="00A76BF5"/>
    <w:rsid w:val="00A76F4A"/>
    <w:rsid w:val="00A7747B"/>
    <w:rsid w:val="00A775D2"/>
    <w:rsid w:val="00A776F8"/>
    <w:rsid w:val="00A77773"/>
    <w:rsid w:val="00A8097D"/>
    <w:rsid w:val="00A816F0"/>
    <w:rsid w:val="00A81BDE"/>
    <w:rsid w:val="00A81C0F"/>
    <w:rsid w:val="00A81DFC"/>
    <w:rsid w:val="00A8204E"/>
    <w:rsid w:val="00A82E31"/>
    <w:rsid w:val="00A835C6"/>
    <w:rsid w:val="00A838C5"/>
    <w:rsid w:val="00A83AD2"/>
    <w:rsid w:val="00A8428D"/>
    <w:rsid w:val="00A84791"/>
    <w:rsid w:val="00A84CAB"/>
    <w:rsid w:val="00A860C2"/>
    <w:rsid w:val="00A8765F"/>
    <w:rsid w:val="00A87D10"/>
    <w:rsid w:val="00A90ABA"/>
    <w:rsid w:val="00A928D6"/>
    <w:rsid w:val="00A92CEA"/>
    <w:rsid w:val="00A94535"/>
    <w:rsid w:val="00A9458E"/>
    <w:rsid w:val="00A95256"/>
    <w:rsid w:val="00A953D1"/>
    <w:rsid w:val="00A95BC2"/>
    <w:rsid w:val="00A96314"/>
    <w:rsid w:val="00A9770E"/>
    <w:rsid w:val="00A97E90"/>
    <w:rsid w:val="00AA021A"/>
    <w:rsid w:val="00AA0D8E"/>
    <w:rsid w:val="00AA14A0"/>
    <w:rsid w:val="00AA1EF4"/>
    <w:rsid w:val="00AA25A2"/>
    <w:rsid w:val="00AA25CC"/>
    <w:rsid w:val="00AA48C8"/>
    <w:rsid w:val="00AA4AB8"/>
    <w:rsid w:val="00AA4B64"/>
    <w:rsid w:val="00AA4D39"/>
    <w:rsid w:val="00AA588D"/>
    <w:rsid w:val="00AA6E9B"/>
    <w:rsid w:val="00AA6F67"/>
    <w:rsid w:val="00AA7B41"/>
    <w:rsid w:val="00AA7D9A"/>
    <w:rsid w:val="00AB0909"/>
    <w:rsid w:val="00AB0C59"/>
    <w:rsid w:val="00AB12AC"/>
    <w:rsid w:val="00AB1C30"/>
    <w:rsid w:val="00AB2373"/>
    <w:rsid w:val="00AB28AD"/>
    <w:rsid w:val="00AB33C1"/>
    <w:rsid w:val="00AB457A"/>
    <w:rsid w:val="00AB51ED"/>
    <w:rsid w:val="00AB54EE"/>
    <w:rsid w:val="00AB5526"/>
    <w:rsid w:val="00AB5752"/>
    <w:rsid w:val="00AB57F4"/>
    <w:rsid w:val="00AB5A3E"/>
    <w:rsid w:val="00AB62CE"/>
    <w:rsid w:val="00AB6946"/>
    <w:rsid w:val="00AB6AB3"/>
    <w:rsid w:val="00AB6D97"/>
    <w:rsid w:val="00AB747E"/>
    <w:rsid w:val="00AB7FA6"/>
    <w:rsid w:val="00AC04ED"/>
    <w:rsid w:val="00AC1753"/>
    <w:rsid w:val="00AC1878"/>
    <w:rsid w:val="00AC21DF"/>
    <w:rsid w:val="00AC2ED0"/>
    <w:rsid w:val="00AC2F03"/>
    <w:rsid w:val="00AC2FC9"/>
    <w:rsid w:val="00AC3CFC"/>
    <w:rsid w:val="00AC40CF"/>
    <w:rsid w:val="00AC44D8"/>
    <w:rsid w:val="00AC44FA"/>
    <w:rsid w:val="00AC4A5A"/>
    <w:rsid w:val="00AC5445"/>
    <w:rsid w:val="00AC5CBE"/>
    <w:rsid w:val="00AC5DC9"/>
    <w:rsid w:val="00AC64DE"/>
    <w:rsid w:val="00AC743B"/>
    <w:rsid w:val="00AC7A53"/>
    <w:rsid w:val="00AD00BB"/>
    <w:rsid w:val="00AD0A2C"/>
    <w:rsid w:val="00AD0C49"/>
    <w:rsid w:val="00AD15E6"/>
    <w:rsid w:val="00AD1CF4"/>
    <w:rsid w:val="00AD204A"/>
    <w:rsid w:val="00AD22A2"/>
    <w:rsid w:val="00AD2640"/>
    <w:rsid w:val="00AD2D65"/>
    <w:rsid w:val="00AD48D1"/>
    <w:rsid w:val="00AD5AE6"/>
    <w:rsid w:val="00AD6340"/>
    <w:rsid w:val="00AD6CC3"/>
    <w:rsid w:val="00AD6EC5"/>
    <w:rsid w:val="00AD72AF"/>
    <w:rsid w:val="00AD7599"/>
    <w:rsid w:val="00AD7C18"/>
    <w:rsid w:val="00AD7E01"/>
    <w:rsid w:val="00AE0607"/>
    <w:rsid w:val="00AE0734"/>
    <w:rsid w:val="00AE0F43"/>
    <w:rsid w:val="00AE33C5"/>
    <w:rsid w:val="00AE342F"/>
    <w:rsid w:val="00AE4052"/>
    <w:rsid w:val="00AE4401"/>
    <w:rsid w:val="00AE5AAD"/>
    <w:rsid w:val="00AE5C36"/>
    <w:rsid w:val="00AE5D2E"/>
    <w:rsid w:val="00AE5D6D"/>
    <w:rsid w:val="00AE5E3C"/>
    <w:rsid w:val="00AE6080"/>
    <w:rsid w:val="00AE62FE"/>
    <w:rsid w:val="00AE6E92"/>
    <w:rsid w:val="00AE7243"/>
    <w:rsid w:val="00AE7401"/>
    <w:rsid w:val="00AE7E68"/>
    <w:rsid w:val="00AE7F9E"/>
    <w:rsid w:val="00AF0263"/>
    <w:rsid w:val="00AF038E"/>
    <w:rsid w:val="00AF07A4"/>
    <w:rsid w:val="00AF0961"/>
    <w:rsid w:val="00AF1544"/>
    <w:rsid w:val="00AF26C0"/>
    <w:rsid w:val="00AF398A"/>
    <w:rsid w:val="00AF3C4A"/>
    <w:rsid w:val="00AF4D7D"/>
    <w:rsid w:val="00AF5D3A"/>
    <w:rsid w:val="00AF665A"/>
    <w:rsid w:val="00AF69CF"/>
    <w:rsid w:val="00AF7188"/>
    <w:rsid w:val="00AF7883"/>
    <w:rsid w:val="00AF7CA9"/>
    <w:rsid w:val="00B005BA"/>
    <w:rsid w:val="00B00978"/>
    <w:rsid w:val="00B01327"/>
    <w:rsid w:val="00B0188D"/>
    <w:rsid w:val="00B0381F"/>
    <w:rsid w:val="00B03A99"/>
    <w:rsid w:val="00B03ABC"/>
    <w:rsid w:val="00B03C0F"/>
    <w:rsid w:val="00B04262"/>
    <w:rsid w:val="00B04BFB"/>
    <w:rsid w:val="00B04D82"/>
    <w:rsid w:val="00B053C5"/>
    <w:rsid w:val="00B05469"/>
    <w:rsid w:val="00B05554"/>
    <w:rsid w:val="00B055E3"/>
    <w:rsid w:val="00B067D5"/>
    <w:rsid w:val="00B06A5E"/>
    <w:rsid w:val="00B06F08"/>
    <w:rsid w:val="00B07D7E"/>
    <w:rsid w:val="00B102D6"/>
    <w:rsid w:val="00B1034C"/>
    <w:rsid w:val="00B1036A"/>
    <w:rsid w:val="00B10D56"/>
    <w:rsid w:val="00B11D0F"/>
    <w:rsid w:val="00B13310"/>
    <w:rsid w:val="00B13EA4"/>
    <w:rsid w:val="00B149E0"/>
    <w:rsid w:val="00B14BD2"/>
    <w:rsid w:val="00B1508D"/>
    <w:rsid w:val="00B15BA2"/>
    <w:rsid w:val="00B16466"/>
    <w:rsid w:val="00B164D0"/>
    <w:rsid w:val="00B169A0"/>
    <w:rsid w:val="00B169B2"/>
    <w:rsid w:val="00B16DDB"/>
    <w:rsid w:val="00B177D0"/>
    <w:rsid w:val="00B178E3"/>
    <w:rsid w:val="00B17A15"/>
    <w:rsid w:val="00B208C5"/>
    <w:rsid w:val="00B20E39"/>
    <w:rsid w:val="00B21437"/>
    <w:rsid w:val="00B21781"/>
    <w:rsid w:val="00B227EC"/>
    <w:rsid w:val="00B23726"/>
    <w:rsid w:val="00B24B7A"/>
    <w:rsid w:val="00B25A74"/>
    <w:rsid w:val="00B26219"/>
    <w:rsid w:val="00B26ACC"/>
    <w:rsid w:val="00B27037"/>
    <w:rsid w:val="00B304D2"/>
    <w:rsid w:val="00B30A8F"/>
    <w:rsid w:val="00B30BC4"/>
    <w:rsid w:val="00B30CC2"/>
    <w:rsid w:val="00B30DB3"/>
    <w:rsid w:val="00B31FCA"/>
    <w:rsid w:val="00B32700"/>
    <w:rsid w:val="00B3293C"/>
    <w:rsid w:val="00B32EF2"/>
    <w:rsid w:val="00B337B3"/>
    <w:rsid w:val="00B340D1"/>
    <w:rsid w:val="00B34B42"/>
    <w:rsid w:val="00B36166"/>
    <w:rsid w:val="00B36176"/>
    <w:rsid w:val="00B36D91"/>
    <w:rsid w:val="00B37032"/>
    <w:rsid w:val="00B3765C"/>
    <w:rsid w:val="00B40F4F"/>
    <w:rsid w:val="00B41F91"/>
    <w:rsid w:val="00B42A7D"/>
    <w:rsid w:val="00B437E3"/>
    <w:rsid w:val="00B4444E"/>
    <w:rsid w:val="00B447CB"/>
    <w:rsid w:val="00B44E9E"/>
    <w:rsid w:val="00B44EF9"/>
    <w:rsid w:val="00B451FB"/>
    <w:rsid w:val="00B4636A"/>
    <w:rsid w:val="00B463DE"/>
    <w:rsid w:val="00B46E76"/>
    <w:rsid w:val="00B47950"/>
    <w:rsid w:val="00B508EB"/>
    <w:rsid w:val="00B51612"/>
    <w:rsid w:val="00B516CF"/>
    <w:rsid w:val="00B51D9D"/>
    <w:rsid w:val="00B51FA8"/>
    <w:rsid w:val="00B5269F"/>
    <w:rsid w:val="00B5291E"/>
    <w:rsid w:val="00B52C38"/>
    <w:rsid w:val="00B53372"/>
    <w:rsid w:val="00B537E7"/>
    <w:rsid w:val="00B54486"/>
    <w:rsid w:val="00B55214"/>
    <w:rsid w:val="00B560C2"/>
    <w:rsid w:val="00B5660A"/>
    <w:rsid w:val="00B56BAF"/>
    <w:rsid w:val="00B5753C"/>
    <w:rsid w:val="00B60F68"/>
    <w:rsid w:val="00B61431"/>
    <w:rsid w:val="00B61A98"/>
    <w:rsid w:val="00B61AA4"/>
    <w:rsid w:val="00B61C62"/>
    <w:rsid w:val="00B636E9"/>
    <w:rsid w:val="00B63A2D"/>
    <w:rsid w:val="00B648C9"/>
    <w:rsid w:val="00B6494C"/>
    <w:rsid w:val="00B64CE9"/>
    <w:rsid w:val="00B65285"/>
    <w:rsid w:val="00B65D18"/>
    <w:rsid w:val="00B6621B"/>
    <w:rsid w:val="00B66BDF"/>
    <w:rsid w:val="00B67131"/>
    <w:rsid w:val="00B672A2"/>
    <w:rsid w:val="00B674E6"/>
    <w:rsid w:val="00B70235"/>
    <w:rsid w:val="00B7031A"/>
    <w:rsid w:val="00B704B8"/>
    <w:rsid w:val="00B70EB7"/>
    <w:rsid w:val="00B71449"/>
    <w:rsid w:val="00B7302A"/>
    <w:rsid w:val="00B7400E"/>
    <w:rsid w:val="00B742C6"/>
    <w:rsid w:val="00B744B1"/>
    <w:rsid w:val="00B74555"/>
    <w:rsid w:val="00B74793"/>
    <w:rsid w:val="00B74E14"/>
    <w:rsid w:val="00B75FDE"/>
    <w:rsid w:val="00B7607C"/>
    <w:rsid w:val="00B7719B"/>
    <w:rsid w:val="00B77208"/>
    <w:rsid w:val="00B7728D"/>
    <w:rsid w:val="00B7750D"/>
    <w:rsid w:val="00B77766"/>
    <w:rsid w:val="00B77A5B"/>
    <w:rsid w:val="00B77A82"/>
    <w:rsid w:val="00B80388"/>
    <w:rsid w:val="00B80427"/>
    <w:rsid w:val="00B80440"/>
    <w:rsid w:val="00B808B4"/>
    <w:rsid w:val="00B80C04"/>
    <w:rsid w:val="00B80E51"/>
    <w:rsid w:val="00B811CB"/>
    <w:rsid w:val="00B81647"/>
    <w:rsid w:val="00B82700"/>
    <w:rsid w:val="00B83986"/>
    <w:rsid w:val="00B83F60"/>
    <w:rsid w:val="00B8461B"/>
    <w:rsid w:val="00B848BF"/>
    <w:rsid w:val="00B8629E"/>
    <w:rsid w:val="00B8646C"/>
    <w:rsid w:val="00B8669E"/>
    <w:rsid w:val="00B87778"/>
    <w:rsid w:val="00B877FA"/>
    <w:rsid w:val="00B9015B"/>
    <w:rsid w:val="00B91326"/>
    <w:rsid w:val="00B9226E"/>
    <w:rsid w:val="00B931A0"/>
    <w:rsid w:val="00B93866"/>
    <w:rsid w:val="00B94736"/>
    <w:rsid w:val="00B94D2F"/>
    <w:rsid w:val="00B95426"/>
    <w:rsid w:val="00B95C67"/>
    <w:rsid w:val="00B95C6B"/>
    <w:rsid w:val="00B95F3D"/>
    <w:rsid w:val="00B96073"/>
    <w:rsid w:val="00B9708C"/>
    <w:rsid w:val="00BA0875"/>
    <w:rsid w:val="00BA12CD"/>
    <w:rsid w:val="00BA1E96"/>
    <w:rsid w:val="00BA260B"/>
    <w:rsid w:val="00BA275A"/>
    <w:rsid w:val="00BA2E26"/>
    <w:rsid w:val="00BA32F9"/>
    <w:rsid w:val="00BA3A3D"/>
    <w:rsid w:val="00BA4398"/>
    <w:rsid w:val="00BA61EF"/>
    <w:rsid w:val="00BA6237"/>
    <w:rsid w:val="00BA689B"/>
    <w:rsid w:val="00BA6C0F"/>
    <w:rsid w:val="00BB0E8C"/>
    <w:rsid w:val="00BB27B8"/>
    <w:rsid w:val="00BB2ACD"/>
    <w:rsid w:val="00BB2F58"/>
    <w:rsid w:val="00BB40C8"/>
    <w:rsid w:val="00BB4B25"/>
    <w:rsid w:val="00BB5085"/>
    <w:rsid w:val="00BB5A71"/>
    <w:rsid w:val="00BB5F76"/>
    <w:rsid w:val="00BB6965"/>
    <w:rsid w:val="00BB6E33"/>
    <w:rsid w:val="00BB7B52"/>
    <w:rsid w:val="00BC153F"/>
    <w:rsid w:val="00BC1EA9"/>
    <w:rsid w:val="00BC29FA"/>
    <w:rsid w:val="00BC2B45"/>
    <w:rsid w:val="00BC2CB6"/>
    <w:rsid w:val="00BC3084"/>
    <w:rsid w:val="00BC5136"/>
    <w:rsid w:val="00BC6145"/>
    <w:rsid w:val="00BC70C9"/>
    <w:rsid w:val="00BC7445"/>
    <w:rsid w:val="00BC75AD"/>
    <w:rsid w:val="00BD0B4C"/>
    <w:rsid w:val="00BD0BE0"/>
    <w:rsid w:val="00BD0C30"/>
    <w:rsid w:val="00BD1E6A"/>
    <w:rsid w:val="00BD3279"/>
    <w:rsid w:val="00BD3D78"/>
    <w:rsid w:val="00BD3F0C"/>
    <w:rsid w:val="00BD4F59"/>
    <w:rsid w:val="00BD5218"/>
    <w:rsid w:val="00BD7EC9"/>
    <w:rsid w:val="00BE0191"/>
    <w:rsid w:val="00BE320D"/>
    <w:rsid w:val="00BE3B9B"/>
    <w:rsid w:val="00BE3D06"/>
    <w:rsid w:val="00BE4D2F"/>
    <w:rsid w:val="00BE5E9A"/>
    <w:rsid w:val="00BE6744"/>
    <w:rsid w:val="00BE6A43"/>
    <w:rsid w:val="00BE7987"/>
    <w:rsid w:val="00BF07D3"/>
    <w:rsid w:val="00BF137F"/>
    <w:rsid w:val="00BF1D2E"/>
    <w:rsid w:val="00BF23C0"/>
    <w:rsid w:val="00BF259B"/>
    <w:rsid w:val="00BF4C9B"/>
    <w:rsid w:val="00BF5B5A"/>
    <w:rsid w:val="00BF602A"/>
    <w:rsid w:val="00BF690E"/>
    <w:rsid w:val="00BF6D24"/>
    <w:rsid w:val="00BF6E0B"/>
    <w:rsid w:val="00BF7BAF"/>
    <w:rsid w:val="00C00291"/>
    <w:rsid w:val="00C00857"/>
    <w:rsid w:val="00C01911"/>
    <w:rsid w:val="00C02935"/>
    <w:rsid w:val="00C02E72"/>
    <w:rsid w:val="00C03139"/>
    <w:rsid w:val="00C032B6"/>
    <w:rsid w:val="00C03820"/>
    <w:rsid w:val="00C039E6"/>
    <w:rsid w:val="00C03F53"/>
    <w:rsid w:val="00C05544"/>
    <w:rsid w:val="00C056B7"/>
    <w:rsid w:val="00C065CF"/>
    <w:rsid w:val="00C069E9"/>
    <w:rsid w:val="00C06BE0"/>
    <w:rsid w:val="00C07823"/>
    <w:rsid w:val="00C07A0E"/>
    <w:rsid w:val="00C1010B"/>
    <w:rsid w:val="00C105CD"/>
    <w:rsid w:val="00C10A80"/>
    <w:rsid w:val="00C1189B"/>
    <w:rsid w:val="00C11958"/>
    <w:rsid w:val="00C125AF"/>
    <w:rsid w:val="00C12BC8"/>
    <w:rsid w:val="00C12EB6"/>
    <w:rsid w:val="00C13102"/>
    <w:rsid w:val="00C137EC"/>
    <w:rsid w:val="00C13C5A"/>
    <w:rsid w:val="00C13F75"/>
    <w:rsid w:val="00C14221"/>
    <w:rsid w:val="00C15453"/>
    <w:rsid w:val="00C157B3"/>
    <w:rsid w:val="00C15DD6"/>
    <w:rsid w:val="00C16ABB"/>
    <w:rsid w:val="00C20074"/>
    <w:rsid w:val="00C202CE"/>
    <w:rsid w:val="00C20397"/>
    <w:rsid w:val="00C20D9D"/>
    <w:rsid w:val="00C21226"/>
    <w:rsid w:val="00C21846"/>
    <w:rsid w:val="00C21AC9"/>
    <w:rsid w:val="00C21E1C"/>
    <w:rsid w:val="00C2227B"/>
    <w:rsid w:val="00C2292B"/>
    <w:rsid w:val="00C22AF0"/>
    <w:rsid w:val="00C22EFA"/>
    <w:rsid w:val="00C23539"/>
    <w:rsid w:val="00C23F1B"/>
    <w:rsid w:val="00C23FE5"/>
    <w:rsid w:val="00C24173"/>
    <w:rsid w:val="00C24230"/>
    <w:rsid w:val="00C245DA"/>
    <w:rsid w:val="00C24996"/>
    <w:rsid w:val="00C24DB0"/>
    <w:rsid w:val="00C250A5"/>
    <w:rsid w:val="00C2524A"/>
    <w:rsid w:val="00C254D2"/>
    <w:rsid w:val="00C258ED"/>
    <w:rsid w:val="00C25CD9"/>
    <w:rsid w:val="00C269BD"/>
    <w:rsid w:val="00C26C9E"/>
    <w:rsid w:val="00C26ECA"/>
    <w:rsid w:val="00C26F13"/>
    <w:rsid w:val="00C27989"/>
    <w:rsid w:val="00C27E25"/>
    <w:rsid w:val="00C300A7"/>
    <w:rsid w:val="00C302A1"/>
    <w:rsid w:val="00C30C5A"/>
    <w:rsid w:val="00C310E7"/>
    <w:rsid w:val="00C31DFE"/>
    <w:rsid w:val="00C323D9"/>
    <w:rsid w:val="00C3258F"/>
    <w:rsid w:val="00C327C6"/>
    <w:rsid w:val="00C3286E"/>
    <w:rsid w:val="00C32911"/>
    <w:rsid w:val="00C33168"/>
    <w:rsid w:val="00C33322"/>
    <w:rsid w:val="00C33478"/>
    <w:rsid w:val="00C334C1"/>
    <w:rsid w:val="00C3491A"/>
    <w:rsid w:val="00C3498C"/>
    <w:rsid w:val="00C34A68"/>
    <w:rsid w:val="00C34EA5"/>
    <w:rsid w:val="00C34F92"/>
    <w:rsid w:val="00C35DA7"/>
    <w:rsid w:val="00C3643D"/>
    <w:rsid w:val="00C36E88"/>
    <w:rsid w:val="00C402BB"/>
    <w:rsid w:val="00C40646"/>
    <w:rsid w:val="00C4065F"/>
    <w:rsid w:val="00C409C7"/>
    <w:rsid w:val="00C40AE4"/>
    <w:rsid w:val="00C41A28"/>
    <w:rsid w:val="00C4208D"/>
    <w:rsid w:val="00C4230C"/>
    <w:rsid w:val="00C42DB9"/>
    <w:rsid w:val="00C42E04"/>
    <w:rsid w:val="00C43229"/>
    <w:rsid w:val="00C436CE"/>
    <w:rsid w:val="00C43CEA"/>
    <w:rsid w:val="00C43CFA"/>
    <w:rsid w:val="00C44157"/>
    <w:rsid w:val="00C446B9"/>
    <w:rsid w:val="00C44BE0"/>
    <w:rsid w:val="00C451D8"/>
    <w:rsid w:val="00C45D97"/>
    <w:rsid w:val="00C47148"/>
    <w:rsid w:val="00C47453"/>
    <w:rsid w:val="00C47AAA"/>
    <w:rsid w:val="00C47CE4"/>
    <w:rsid w:val="00C47D77"/>
    <w:rsid w:val="00C531DA"/>
    <w:rsid w:val="00C53F85"/>
    <w:rsid w:val="00C54D89"/>
    <w:rsid w:val="00C54EB1"/>
    <w:rsid w:val="00C557E0"/>
    <w:rsid w:val="00C557E3"/>
    <w:rsid w:val="00C568D4"/>
    <w:rsid w:val="00C56DBE"/>
    <w:rsid w:val="00C57133"/>
    <w:rsid w:val="00C57EBD"/>
    <w:rsid w:val="00C60D18"/>
    <w:rsid w:val="00C630C3"/>
    <w:rsid w:val="00C630DF"/>
    <w:rsid w:val="00C64E4D"/>
    <w:rsid w:val="00C650D8"/>
    <w:rsid w:val="00C656EF"/>
    <w:rsid w:val="00C6584E"/>
    <w:rsid w:val="00C660F4"/>
    <w:rsid w:val="00C66167"/>
    <w:rsid w:val="00C661C1"/>
    <w:rsid w:val="00C66A0B"/>
    <w:rsid w:val="00C66A38"/>
    <w:rsid w:val="00C67046"/>
    <w:rsid w:val="00C6787A"/>
    <w:rsid w:val="00C70691"/>
    <w:rsid w:val="00C710F6"/>
    <w:rsid w:val="00C71C49"/>
    <w:rsid w:val="00C725AC"/>
    <w:rsid w:val="00C72E9A"/>
    <w:rsid w:val="00C73CA7"/>
    <w:rsid w:val="00C73DC1"/>
    <w:rsid w:val="00C73E61"/>
    <w:rsid w:val="00C74D44"/>
    <w:rsid w:val="00C74E43"/>
    <w:rsid w:val="00C7515A"/>
    <w:rsid w:val="00C7578B"/>
    <w:rsid w:val="00C75D29"/>
    <w:rsid w:val="00C76163"/>
    <w:rsid w:val="00C762DA"/>
    <w:rsid w:val="00C7784B"/>
    <w:rsid w:val="00C779E2"/>
    <w:rsid w:val="00C77F03"/>
    <w:rsid w:val="00C81349"/>
    <w:rsid w:val="00C81362"/>
    <w:rsid w:val="00C814DD"/>
    <w:rsid w:val="00C816E6"/>
    <w:rsid w:val="00C81727"/>
    <w:rsid w:val="00C8185B"/>
    <w:rsid w:val="00C81960"/>
    <w:rsid w:val="00C82914"/>
    <w:rsid w:val="00C83571"/>
    <w:rsid w:val="00C83818"/>
    <w:rsid w:val="00C83E41"/>
    <w:rsid w:val="00C84FD8"/>
    <w:rsid w:val="00C8542F"/>
    <w:rsid w:val="00C87312"/>
    <w:rsid w:val="00C8751B"/>
    <w:rsid w:val="00C87B6A"/>
    <w:rsid w:val="00C87E4D"/>
    <w:rsid w:val="00C90B00"/>
    <w:rsid w:val="00C90FBC"/>
    <w:rsid w:val="00C91738"/>
    <w:rsid w:val="00C917DC"/>
    <w:rsid w:val="00C91905"/>
    <w:rsid w:val="00C9338B"/>
    <w:rsid w:val="00C93CB5"/>
    <w:rsid w:val="00C93FAC"/>
    <w:rsid w:val="00C94362"/>
    <w:rsid w:val="00C955E6"/>
    <w:rsid w:val="00C957BC"/>
    <w:rsid w:val="00C95AE0"/>
    <w:rsid w:val="00C97C2B"/>
    <w:rsid w:val="00C97E36"/>
    <w:rsid w:val="00CA03E0"/>
    <w:rsid w:val="00CA0D4B"/>
    <w:rsid w:val="00CA153A"/>
    <w:rsid w:val="00CA19B4"/>
    <w:rsid w:val="00CA23EF"/>
    <w:rsid w:val="00CA24BC"/>
    <w:rsid w:val="00CA2BD8"/>
    <w:rsid w:val="00CA339D"/>
    <w:rsid w:val="00CA3EC7"/>
    <w:rsid w:val="00CA5356"/>
    <w:rsid w:val="00CA5D93"/>
    <w:rsid w:val="00CA6132"/>
    <w:rsid w:val="00CA631C"/>
    <w:rsid w:val="00CA7E41"/>
    <w:rsid w:val="00CB0ED2"/>
    <w:rsid w:val="00CB1E3A"/>
    <w:rsid w:val="00CB20F6"/>
    <w:rsid w:val="00CB2272"/>
    <w:rsid w:val="00CB4532"/>
    <w:rsid w:val="00CB54EB"/>
    <w:rsid w:val="00CB59E5"/>
    <w:rsid w:val="00CB5BA9"/>
    <w:rsid w:val="00CB6ADF"/>
    <w:rsid w:val="00CB726F"/>
    <w:rsid w:val="00CC0294"/>
    <w:rsid w:val="00CC07BF"/>
    <w:rsid w:val="00CC17A3"/>
    <w:rsid w:val="00CC2165"/>
    <w:rsid w:val="00CC29EF"/>
    <w:rsid w:val="00CC2CBF"/>
    <w:rsid w:val="00CC2EBE"/>
    <w:rsid w:val="00CC3425"/>
    <w:rsid w:val="00CC3558"/>
    <w:rsid w:val="00CC42BE"/>
    <w:rsid w:val="00CC4BC9"/>
    <w:rsid w:val="00CC58AE"/>
    <w:rsid w:val="00CC6313"/>
    <w:rsid w:val="00CC6565"/>
    <w:rsid w:val="00CC6B89"/>
    <w:rsid w:val="00CC747B"/>
    <w:rsid w:val="00CC7D65"/>
    <w:rsid w:val="00CD0C64"/>
    <w:rsid w:val="00CD17A4"/>
    <w:rsid w:val="00CD2DD9"/>
    <w:rsid w:val="00CD4777"/>
    <w:rsid w:val="00CD485E"/>
    <w:rsid w:val="00CD4E45"/>
    <w:rsid w:val="00CD59A7"/>
    <w:rsid w:val="00CD5C3E"/>
    <w:rsid w:val="00CD5EAD"/>
    <w:rsid w:val="00CD6B4F"/>
    <w:rsid w:val="00CD7127"/>
    <w:rsid w:val="00CD7128"/>
    <w:rsid w:val="00CD79D1"/>
    <w:rsid w:val="00CE01B8"/>
    <w:rsid w:val="00CE0C3D"/>
    <w:rsid w:val="00CE0CB6"/>
    <w:rsid w:val="00CE17AB"/>
    <w:rsid w:val="00CE20E2"/>
    <w:rsid w:val="00CE245E"/>
    <w:rsid w:val="00CE24B3"/>
    <w:rsid w:val="00CE3364"/>
    <w:rsid w:val="00CE3890"/>
    <w:rsid w:val="00CE3DB5"/>
    <w:rsid w:val="00CE4DA5"/>
    <w:rsid w:val="00CE5C23"/>
    <w:rsid w:val="00CE7FD7"/>
    <w:rsid w:val="00CF04BD"/>
    <w:rsid w:val="00CF0DE5"/>
    <w:rsid w:val="00CF1DC8"/>
    <w:rsid w:val="00CF2EF6"/>
    <w:rsid w:val="00CF335D"/>
    <w:rsid w:val="00CF4F53"/>
    <w:rsid w:val="00CF5347"/>
    <w:rsid w:val="00CF573E"/>
    <w:rsid w:val="00CF622D"/>
    <w:rsid w:val="00CF709A"/>
    <w:rsid w:val="00CF73AB"/>
    <w:rsid w:val="00CF779C"/>
    <w:rsid w:val="00CF7F75"/>
    <w:rsid w:val="00D00033"/>
    <w:rsid w:val="00D00136"/>
    <w:rsid w:val="00D0047B"/>
    <w:rsid w:val="00D00EAD"/>
    <w:rsid w:val="00D01178"/>
    <w:rsid w:val="00D01678"/>
    <w:rsid w:val="00D02904"/>
    <w:rsid w:val="00D02F03"/>
    <w:rsid w:val="00D0339E"/>
    <w:rsid w:val="00D035EB"/>
    <w:rsid w:val="00D03F6C"/>
    <w:rsid w:val="00D0503B"/>
    <w:rsid w:val="00D054FE"/>
    <w:rsid w:val="00D05EA7"/>
    <w:rsid w:val="00D0607B"/>
    <w:rsid w:val="00D061F5"/>
    <w:rsid w:val="00D06441"/>
    <w:rsid w:val="00D065F7"/>
    <w:rsid w:val="00D07A37"/>
    <w:rsid w:val="00D07D79"/>
    <w:rsid w:val="00D1118B"/>
    <w:rsid w:val="00D11BB8"/>
    <w:rsid w:val="00D11E5F"/>
    <w:rsid w:val="00D13332"/>
    <w:rsid w:val="00D151AB"/>
    <w:rsid w:val="00D158EA"/>
    <w:rsid w:val="00D15A7B"/>
    <w:rsid w:val="00D16869"/>
    <w:rsid w:val="00D169BE"/>
    <w:rsid w:val="00D174E2"/>
    <w:rsid w:val="00D17970"/>
    <w:rsid w:val="00D203E0"/>
    <w:rsid w:val="00D22125"/>
    <w:rsid w:val="00D22279"/>
    <w:rsid w:val="00D228C9"/>
    <w:rsid w:val="00D22C65"/>
    <w:rsid w:val="00D22D97"/>
    <w:rsid w:val="00D22E85"/>
    <w:rsid w:val="00D2343C"/>
    <w:rsid w:val="00D23B6D"/>
    <w:rsid w:val="00D2475C"/>
    <w:rsid w:val="00D249A7"/>
    <w:rsid w:val="00D25E19"/>
    <w:rsid w:val="00D26514"/>
    <w:rsid w:val="00D26533"/>
    <w:rsid w:val="00D2796C"/>
    <w:rsid w:val="00D300D4"/>
    <w:rsid w:val="00D30735"/>
    <w:rsid w:val="00D319F1"/>
    <w:rsid w:val="00D31C77"/>
    <w:rsid w:val="00D31D0A"/>
    <w:rsid w:val="00D31F01"/>
    <w:rsid w:val="00D34356"/>
    <w:rsid w:val="00D34597"/>
    <w:rsid w:val="00D34ADA"/>
    <w:rsid w:val="00D34F43"/>
    <w:rsid w:val="00D35AF6"/>
    <w:rsid w:val="00D35EE1"/>
    <w:rsid w:val="00D36208"/>
    <w:rsid w:val="00D3691E"/>
    <w:rsid w:val="00D36946"/>
    <w:rsid w:val="00D36F96"/>
    <w:rsid w:val="00D3734A"/>
    <w:rsid w:val="00D37EB0"/>
    <w:rsid w:val="00D403FE"/>
    <w:rsid w:val="00D407D0"/>
    <w:rsid w:val="00D407F2"/>
    <w:rsid w:val="00D40A44"/>
    <w:rsid w:val="00D40D61"/>
    <w:rsid w:val="00D40E66"/>
    <w:rsid w:val="00D40F32"/>
    <w:rsid w:val="00D41125"/>
    <w:rsid w:val="00D41333"/>
    <w:rsid w:val="00D4188A"/>
    <w:rsid w:val="00D42696"/>
    <w:rsid w:val="00D4298A"/>
    <w:rsid w:val="00D432FA"/>
    <w:rsid w:val="00D437FC"/>
    <w:rsid w:val="00D43AB7"/>
    <w:rsid w:val="00D44BA9"/>
    <w:rsid w:val="00D44D50"/>
    <w:rsid w:val="00D44FA5"/>
    <w:rsid w:val="00D45583"/>
    <w:rsid w:val="00D46412"/>
    <w:rsid w:val="00D47712"/>
    <w:rsid w:val="00D47BF0"/>
    <w:rsid w:val="00D47E76"/>
    <w:rsid w:val="00D5052B"/>
    <w:rsid w:val="00D505D6"/>
    <w:rsid w:val="00D508CD"/>
    <w:rsid w:val="00D50AF3"/>
    <w:rsid w:val="00D51620"/>
    <w:rsid w:val="00D51EC9"/>
    <w:rsid w:val="00D51FBF"/>
    <w:rsid w:val="00D520D8"/>
    <w:rsid w:val="00D52570"/>
    <w:rsid w:val="00D52830"/>
    <w:rsid w:val="00D52D51"/>
    <w:rsid w:val="00D52F9D"/>
    <w:rsid w:val="00D5431F"/>
    <w:rsid w:val="00D54503"/>
    <w:rsid w:val="00D548CE"/>
    <w:rsid w:val="00D5531A"/>
    <w:rsid w:val="00D55BAF"/>
    <w:rsid w:val="00D55D44"/>
    <w:rsid w:val="00D56349"/>
    <w:rsid w:val="00D565BA"/>
    <w:rsid w:val="00D56B7C"/>
    <w:rsid w:val="00D57854"/>
    <w:rsid w:val="00D57A08"/>
    <w:rsid w:val="00D57D0D"/>
    <w:rsid w:val="00D60393"/>
    <w:rsid w:val="00D609AF"/>
    <w:rsid w:val="00D60C5B"/>
    <w:rsid w:val="00D60C69"/>
    <w:rsid w:val="00D610AB"/>
    <w:rsid w:val="00D62579"/>
    <w:rsid w:val="00D628FE"/>
    <w:rsid w:val="00D629C1"/>
    <w:rsid w:val="00D62AD2"/>
    <w:rsid w:val="00D636B3"/>
    <w:rsid w:val="00D641DF"/>
    <w:rsid w:val="00D647B6"/>
    <w:rsid w:val="00D659F6"/>
    <w:rsid w:val="00D66395"/>
    <w:rsid w:val="00D67207"/>
    <w:rsid w:val="00D67ECA"/>
    <w:rsid w:val="00D70901"/>
    <w:rsid w:val="00D711A2"/>
    <w:rsid w:val="00D722D9"/>
    <w:rsid w:val="00D7256F"/>
    <w:rsid w:val="00D72AAB"/>
    <w:rsid w:val="00D736DA"/>
    <w:rsid w:val="00D73CBE"/>
    <w:rsid w:val="00D73FA9"/>
    <w:rsid w:val="00D74C24"/>
    <w:rsid w:val="00D74C81"/>
    <w:rsid w:val="00D74E3E"/>
    <w:rsid w:val="00D75203"/>
    <w:rsid w:val="00D754BD"/>
    <w:rsid w:val="00D75D03"/>
    <w:rsid w:val="00D77D64"/>
    <w:rsid w:val="00D77FAE"/>
    <w:rsid w:val="00D802F2"/>
    <w:rsid w:val="00D80365"/>
    <w:rsid w:val="00D80809"/>
    <w:rsid w:val="00D8091B"/>
    <w:rsid w:val="00D80C46"/>
    <w:rsid w:val="00D8133B"/>
    <w:rsid w:val="00D81906"/>
    <w:rsid w:val="00D81911"/>
    <w:rsid w:val="00D81EE3"/>
    <w:rsid w:val="00D82155"/>
    <w:rsid w:val="00D8221B"/>
    <w:rsid w:val="00D82543"/>
    <w:rsid w:val="00D82663"/>
    <w:rsid w:val="00D82979"/>
    <w:rsid w:val="00D829A1"/>
    <w:rsid w:val="00D82C7E"/>
    <w:rsid w:val="00D82CC7"/>
    <w:rsid w:val="00D82FAB"/>
    <w:rsid w:val="00D831F2"/>
    <w:rsid w:val="00D83E25"/>
    <w:rsid w:val="00D83E26"/>
    <w:rsid w:val="00D83E42"/>
    <w:rsid w:val="00D8427F"/>
    <w:rsid w:val="00D84658"/>
    <w:rsid w:val="00D848B8"/>
    <w:rsid w:val="00D84BE3"/>
    <w:rsid w:val="00D862FE"/>
    <w:rsid w:val="00D8633A"/>
    <w:rsid w:val="00D869F1"/>
    <w:rsid w:val="00D873C0"/>
    <w:rsid w:val="00D90A4F"/>
    <w:rsid w:val="00D91D50"/>
    <w:rsid w:val="00D91E9E"/>
    <w:rsid w:val="00D9214A"/>
    <w:rsid w:val="00D92158"/>
    <w:rsid w:val="00D92968"/>
    <w:rsid w:val="00D92AA3"/>
    <w:rsid w:val="00D9300A"/>
    <w:rsid w:val="00D9305E"/>
    <w:rsid w:val="00D942F5"/>
    <w:rsid w:val="00D951E6"/>
    <w:rsid w:val="00D95BBB"/>
    <w:rsid w:val="00D96163"/>
    <w:rsid w:val="00D96C20"/>
    <w:rsid w:val="00D976DF"/>
    <w:rsid w:val="00D97B96"/>
    <w:rsid w:val="00D97CCF"/>
    <w:rsid w:val="00DA0631"/>
    <w:rsid w:val="00DA1F6C"/>
    <w:rsid w:val="00DA1FB9"/>
    <w:rsid w:val="00DA22BE"/>
    <w:rsid w:val="00DA2731"/>
    <w:rsid w:val="00DA2753"/>
    <w:rsid w:val="00DA2D1B"/>
    <w:rsid w:val="00DA3892"/>
    <w:rsid w:val="00DA3D8E"/>
    <w:rsid w:val="00DA3E0D"/>
    <w:rsid w:val="00DA3FA4"/>
    <w:rsid w:val="00DA4949"/>
    <w:rsid w:val="00DA5791"/>
    <w:rsid w:val="00DA5E74"/>
    <w:rsid w:val="00DA6808"/>
    <w:rsid w:val="00DA69DC"/>
    <w:rsid w:val="00DA6BA8"/>
    <w:rsid w:val="00DA6E72"/>
    <w:rsid w:val="00DA7EE3"/>
    <w:rsid w:val="00DB00C9"/>
    <w:rsid w:val="00DB07CB"/>
    <w:rsid w:val="00DB0C58"/>
    <w:rsid w:val="00DB0E70"/>
    <w:rsid w:val="00DB0EC8"/>
    <w:rsid w:val="00DB111A"/>
    <w:rsid w:val="00DB27C5"/>
    <w:rsid w:val="00DB2A69"/>
    <w:rsid w:val="00DB2DE4"/>
    <w:rsid w:val="00DB3425"/>
    <w:rsid w:val="00DB3D0C"/>
    <w:rsid w:val="00DB3E72"/>
    <w:rsid w:val="00DB43FD"/>
    <w:rsid w:val="00DB4544"/>
    <w:rsid w:val="00DB6760"/>
    <w:rsid w:val="00DB6D34"/>
    <w:rsid w:val="00DB7C76"/>
    <w:rsid w:val="00DB7DF0"/>
    <w:rsid w:val="00DC028B"/>
    <w:rsid w:val="00DC0660"/>
    <w:rsid w:val="00DC17FF"/>
    <w:rsid w:val="00DC1932"/>
    <w:rsid w:val="00DC1A51"/>
    <w:rsid w:val="00DC27B1"/>
    <w:rsid w:val="00DC3090"/>
    <w:rsid w:val="00DC3325"/>
    <w:rsid w:val="00DC3521"/>
    <w:rsid w:val="00DC3939"/>
    <w:rsid w:val="00DC474D"/>
    <w:rsid w:val="00DC47BD"/>
    <w:rsid w:val="00DC52CB"/>
    <w:rsid w:val="00DC5A2D"/>
    <w:rsid w:val="00DC5F45"/>
    <w:rsid w:val="00DC616A"/>
    <w:rsid w:val="00DC697C"/>
    <w:rsid w:val="00DC7232"/>
    <w:rsid w:val="00DC79A5"/>
    <w:rsid w:val="00DC7A4E"/>
    <w:rsid w:val="00DD0364"/>
    <w:rsid w:val="00DD08BA"/>
    <w:rsid w:val="00DD0C30"/>
    <w:rsid w:val="00DD0E25"/>
    <w:rsid w:val="00DD1010"/>
    <w:rsid w:val="00DD1306"/>
    <w:rsid w:val="00DD1A7F"/>
    <w:rsid w:val="00DD243C"/>
    <w:rsid w:val="00DD6447"/>
    <w:rsid w:val="00DD68EC"/>
    <w:rsid w:val="00DD6AC9"/>
    <w:rsid w:val="00DD6D82"/>
    <w:rsid w:val="00DD7834"/>
    <w:rsid w:val="00DD783C"/>
    <w:rsid w:val="00DD795D"/>
    <w:rsid w:val="00DE0758"/>
    <w:rsid w:val="00DE0AE7"/>
    <w:rsid w:val="00DE0CAD"/>
    <w:rsid w:val="00DE0E35"/>
    <w:rsid w:val="00DE134C"/>
    <w:rsid w:val="00DE1414"/>
    <w:rsid w:val="00DE143E"/>
    <w:rsid w:val="00DE1559"/>
    <w:rsid w:val="00DE2552"/>
    <w:rsid w:val="00DE34FE"/>
    <w:rsid w:val="00DE3884"/>
    <w:rsid w:val="00DE38FA"/>
    <w:rsid w:val="00DE3CC9"/>
    <w:rsid w:val="00DE3E89"/>
    <w:rsid w:val="00DE4476"/>
    <w:rsid w:val="00DE51D2"/>
    <w:rsid w:val="00DE5566"/>
    <w:rsid w:val="00DE57D1"/>
    <w:rsid w:val="00DE5C2A"/>
    <w:rsid w:val="00DE5ED0"/>
    <w:rsid w:val="00DE6634"/>
    <w:rsid w:val="00DE66AB"/>
    <w:rsid w:val="00DE6B26"/>
    <w:rsid w:val="00DE6DAF"/>
    <w:rsid w:val="00DE6EF4"/>
    <w:rsid w:val="00DE7227"/>
    <w:rsid w:val="00DE7392"/>
    <w:rsid w:val="00DE7687"/>
    <w:rsid w:val="00DE7BF5"/>
    <w:rsid w:val="00DF0216"/>
    <w:rsid w:val="00DF1424"/>
    <w:rsid w:val="00DF1953"/>
    <w:rsid w:val="00DF24A4"/>
    <w:rsid w:val="00DF2973"/>
    <w:rsid w:val="00DF2AD6"/>
    <w:rsid w:val="00DF3279"/>
    <w:rsid w:val="00DF33A1"/>
    <w:rsid w:val="00DF39BB"/>
    <w:rsid w:val="00DF3AD6"/>
    <w:rsid w:val="00DF3CB7"/>
    <w:rsid w:val="00DF51EB"/>
    <w:rsid w:val="00DF5835"/>
    <w:rsid w:val="00DF5A48"/>
    <w:rsid w:val="00DF5DD1"/>
    <w:rsid w:val="00DF6259"/>
    <w:rsid w:val="00DF68F3"/>
    <w:rsid w:val="00DF6D44"/>
    <w:rsid w:val="00DF71C6"/>
    <w:rsid w:val="00DF74EB"/>
    <w:rsid w:val="00E0008D"/>
    <w:rsid w:val="00E00119"/>
    <w:rsid w:val="00E008A3"/>
    <w:rsid w:val="00E00E2C"/>
    <w:rsid w:val="00E01255"/>
    <w:rsid w:val="00E029F4"/>
    <w:rsid w:val="00E02D1C"/>
    <w:rsid w:val="00E0389A"/>
    <w:rsid w:val="00E03AC5"/>
    <w:rsid w:val="00E0426D"/>
    <w:rsid w:val="00E04FF4"/>
    <w:rsid w:val="00E05457"/>
    <w:rsid w:val="00E0613F"/>
    <w:rsid w:val="00E070F6"/>
    <w:rsid w:val="00E07266"/>
    <w:rsid w:val="00E072DE"/>
    <w:rsid w:val="00E11658"/>
    <w:rsid w:val="00E116F6"/>
    <w:rsid w:val="00E11B67"/>
    <w:rsid w:val="00E11D69"/>
    <w:rsid w:val="00E1356A"/>
    <w:rsid w:val="00E13DC1"/>
    <w:rsid w:val="00E14355"/>
    <w:rsid w:val="00E14A46"/>
    <w:rsid w:val="00E15ABE"/>
    <w:rsid w:val="00E169D5"/>
    <w:rsid w:val="00E17100"/>
    <w:rsid w:val="00E17BC2"/>
    <w:rsid w:val="00E17E54"/>
    <w:rsid w:val="00E17EE6"/>
    <w:rsid w:val="00E17EF1"/>
    <w:rsid w:val="00E2060B"/>
    <w:rsid w:val="00E20797"/>
    <w:rsid w:val="00E20F46"/>
    <w:rsid w:val="00E21466"/>
    <w:rsid w:val="00E227B2"/>
    <w:rsid w:val="00E22A85"/>
    <w:rsid w:val="00E231D9"/>
    <w:rsid w:val="00E236C5"/>
    <w:rsid w:val="00E2403B"/>
    <w:rsid w:val="00E24202"/>
    <w:rsid w:val="00E24BC0"/>
    <w:rsid w:val="00E25094"/>
    <w:rsid w:val="00E254D4"/>
    <w:rsid w:val="00E25B81"/>
    <w:rsid w:val="00E267B3"/>
    <w:rsid w:val="00E2757A"/>
    <w:rsid w:val="00E2757F"/>
    <w:rsid w:val="00E27BCA"/>
    <w:rsid w:val="00E30005"/>
    <w:rsid w:val="00E31E91"/>
    <w:rsid w:val="00E3343F"/>
    <w:rsid w:val="00E34EC2"/>
    <w:rsid w:val="00E34FA3"/>
    <w:rsid w:val="00E361CE"/>
    <w:rsid w:val="00E36C0A"/>
    <w:rsid w:val="00E36E2B"/>
    <w:rsid w:val="00E379DC"/>
    <w:rsid w:val="00E37D05"/>
    <w:rsid w:val="00E40023"/>
    <w:rsid w:val="00E40F99"/>
    <w:rsid w:val="00E417C4"/>
    <w:rsid w:val="00E418C5"/>
    <w:rsid w:val="00E4202C"/>
    <w:rsid w:val="00E42412"/>
    <w:rsid w:val="00E42A3F"/>
    <w:rsid w:val="00E42CFC"/>
    <w:rsid w:val="00E438A7"/>
    <w:rsid w:val="00E43CFC"/>
    <w:rsid w:val="00E447C8"/>
    <w:rsid w:val="00E44DD1"/>
    <w:rsid w:val="00E46E37"/>
    <w:rsid w:val="00E46F79"/>
    <w:rsid w:val="00E47D5F"/>
    <w:rsid w:val="00E502CC"/>
    <w:rsid w:val="00E50DB6"/>
    <w:rsid w:val="00E51469"/>
    <w:rsid w:val="00E52258"/>
    <w:rsid w:val="00E526C3"/>
    <w:rsid w:val="00E53206"/>
    <w:rsid w:val="00E539A3"/>
    <w:rsid w:val="00E53A16"/>
    <w:rsid w:val="00E53E34"/>
    <w:rsid w:val="00E5425F"/>
    <w:rsid w:val="00E546EE"/>
    <w:rsid w:val="00E5499E"/>
    <w:rsid w:val="00E5542F"/>
    <w:rsid w:val="00E557E7"/>
    <w:rsid w:val="00E559EE"/>
    <w:rsid w:val="00E5634C"/>
    <w:rsid w:val="00E567E4"/>
    <w:rsid w:val="00E56E7B"/>
    <w:rsid w:val="00E574A2"/>
    <w:rsid w:val="00E574B7"/>
    <w:rsid w:val="00E57793"/>
    <w:rsid w:val="00E57A9C"/>
    <w:rsid w:val="00E57C36"/>
    <w:rsid w:val="00E57C52"/>
    <w:rsid w:val="00E60388"/>
    <w:rsid w:val="00E60523"/>
    <w:rsid w:val="00E606F8"/>
    <w:rsid w:val="00E60AB0"/>
    <w:rsid w:val="00E60C5F"/>
    <w:rsid w:val="00E621C8"/>
    <w:rsid w:val="00E62238"/>
    <w:rsid w:val="00E624EB"/>
    <w:rsid w:val="00E62803"/>
    <w:rsid w:val="00E62A2C"/>
    <w:rsid w:val="00E6380E"/>
    <w:rsid w:val="00E63A4C"/>
    <w:rsid w:val="00E63A9B"/>
    <w:rsid w:val="00E64134"/>
    <w:rsid w:val="00E6444E"/>
    <w:rsid w:val="00E6492C"/>
    <w:rsid w:val="00E64A73"/>
    <w:rsid w:val="00E64BAB"/>
    <w:rsid w:val="00E64BAE"/>
    <w:rsid w:val="00E65E46"/>
    <w:rsid w:val="00E660ED"/>
    <w:rsid w:val="00E663A8"/>
    <w:rsid w:val="00E677C2"/>
    <w:rsid w:val="00E700A8"/>
    <w:rsid w:val="00E702D1"/>
    <w:rsid w:val="00E713F0"/>
    <w:rsid w:val="00E721C3"/>
    <w:rsid w:val="00E72D55"/>
    <w:rsid w:val="00E7394F"/>
    <w:rsid w:val="00E73AB3"/>
    <w:rsid w:val="00E73DE7"/>
    <w:rsid w:val="00E73E71"/>
    <w:rsid w:val="00E747DA"/>
    <w:rsid w:val="00E755D9"/>
    <w:rsid w:val="00E75DD1"/>
    <w:rsid w:val="00E75EBD"/>
    <w:rsid w:val="00E769F3"/>
    <w:rsid w:val="00E77B5C"/>
    <w:rsid w:val="00E8010A"/>
    <w:rsid w:val="00E82A4D"/>
    <w:rsid w:val="00E82B2F"/>
    <w:rsid w:val="00E82D19"/>
    <w:rsid w:val="00E82DCB"/>
    <w:rsid w:val="00E830C6"/>
    <w:rsid w:val="00E836F9"/>
    <w:rsid w:val="00E83870"/>
    <w:rsid w:val="00E83AE4"/>
    <w:rsid w:val="00E86372"/>
    <w:rsid w:val="00E865F6"/>
    <w:rsid w:val="00E867FB"/>
    <w:rsid w:val="00E86886"/>
    <w:rsid w:val="00E873A4"/>
    <w:rsid w:val="00E90952"/>
    <w:rsid w:val="00E90962"/>
    <w:rsid w:val="00E92FEC"/>
    <w:rsid w:val="00E93403"/>
    <w:rsid w:val="00E93950"/>
    <w:rsid w:val="00E943D1"/>
    <w:rsid w:val="00E9578A"/>
    <w:rsid w:val="00E95C48"/>
    <w:rsid w:val="00E97A6A"/>
    <w:rsid w:val="00E97CA1"/>
    <w:rsid w:val="00EA0195"/>
    <w:rsid w:val="00EA3212"/>
    <w:rsid w:val="00EA32CD"/>
    <w:rsid w:val="00EA4435"/>
    <w:rsid w:val="00EA526B"/>
    <w:rsid w:val="00EA59E6"/>
    <w:rsid w:val="00EA698A"/>
    <w:rsid w:val="00EA738F"/>
    <w:rsid w:val="00EA76AC"/>
    <w:rsid w:val="00EA7A33"/>
    <w:rsid w:val="00EB0729"/>
    <w:rsid w:val="00EB072A"/>
    <w:rsid w:val="00EB0870"/>
    <w:rsid w:val="00EB0EE8"/>
    <w:rsid w:val="00EB11AD"/>
    <w:rsid w:val="00EB1213"/>
    <w:rsid w:val="00EB17DE"/>
    <w:rsid w:val="00EB2411"/>
    <w:rsid w:val="00EB2593"/>
    <w:rsid w:val="00EB29CB"/>
    <w:rsid w:val="00EB3015"/>
    <w:rsid w:val="00EB464C"/>
    <w:rsid w:val="00EB5449"/>
    <w:rsid w:val="00EB5559"/>
    <w:rsid w:val="00EB62D3"/>
    <w:rsid w:val="00EB7A9F"/>
    <w:rsid w:val="00EB7DF6"/>
    <w:rsid w:val="00EC0D45"/>
    <w:rsid w:val="00EC1875"/>
    <w:rsid w:val="00EC1D4A"/>
    <w:rsid w:val="00EC28EF"/>
    <w:rsid w:val="00EC2931"/>
    <w:rsid w:val="00EC330E"/>
    <w:rsid w:val="00EC3B49"/>
    <w:rsid w:val="00EC4BD1"/>
    <w:rsid w:val="00EC5B2C"/>
    <w:rsid w:val="00EC654F"/>
    <w:rsid w:val="00EC661B"/>
    <w:rsid w:val="00EC6F18"/>
    <w:rsid w:val="00EC768B"/>
    <w:rsid w:val="00EC79C3"/>
    <w:rsid w:val="00EC7C85"/>
    <w:rsid w:val="00ED0295"/>
    <w:rsid w:val="00ED036E"/>
    <w:rsid w:val="00ED0574"/>
    <w:rsid w:val="00ED0F05"/>
    <w:rsid w:val="00ED10F1"/>
    <w:rsid w:val="00ED1217"/>
    <w:rsid w:val="00ED187C"/>
    <w:rsid w:val="00ED1DDD"/>
    <w:rsid w:val="00ED30A0"/>
    <w:rsid w:val="00ED3DAD"/>
    <w:rsid w:val="00ED3DDF"/>
    <w:rsid w:val="00ED4237"/>
    <w:rsid w:val="00ED4654"/>
    <w:rsid w:val="00ED47B4"/>
    <w:rsid w:val="00ED47E1"/>
    <w:rsid w:val="00ED4802"/>
    <w:rsid w:val="00ED490D"/>
    <w:rsid w:val="00ED498B"/>
    <w:rsid w:val="00ED4FB9"/>
    <w:rsid w:val="00ED5233"/>
    <w:rsid w:val="00ED5C5C"/>
    <w:rsid w:val="00ED6E06"/>
    <w:rsid w:val="00ED7BB3"/>
    <w:rsid w:val="00EE0218"/>
    <w:rsid w:val="00EE0592"/>
    <w:rsid w:val="00EE22C8"/>
    <w:rsid w:val="00EE23C3"/>
    <w:rsid w:val="00EE3824"/>
    <w:rsid w:val="00EE3D5F"/>
    <w:rsid w:val="00EE46A5"/>
    <w:rsid w:val="00EE4C80"/>
    <w:rsid w:val="00EE696A"/>
    <w:rsid w:val="00EE709F"/>
    <w:rsid w:val="00EF0182"/>
    <w:rsid w:val="00EF0512"/>
    <w:rsid w:val="00EF078D"/>
    <w:rsid w:val="00EF09B8"/>
    <w:rsid w:val="00EF0A60"/>
    <w:rsid w:val="00EF118B"/>
    <w:rsid w:val="00EF1669"/>
    <w:rsid w:val="00EF1EDB"/>
    <w:rsid w:val="00EF263F"/>
    <w:rsid w:val="00EF33C4"/>
    <w:rsid w:val="00EF34AB"/>
    <w:rsid w:val="00EF5044"/>
    <w:rsid w:val="00EF5A5C"/>
    <w:rsid w:val="00EF78F3"/>
    <w:rsid w:val="00EF7B0F"/>
    <w:rsid w:val="00EF7C34"/>
    <w:rsid w:val="00EF7C88"/>
    <w:rsid w:val="00F00E41"/>
    <w:rsid w:val="00F00EF8"/>
    <w:rsid w:val="00F0112E"/>
    <w:rsid w:val="00F01AF4"/>
    <w:rsid w:val="00F026E9"/>
    <w:rsid w:val="00F02A3D"/>
    <w:rsid w:val="00F02F9C"/>
    <w:rsid w:val="00F03F1E"/>
    <w:rsid w:val="00F04DA6"/>
    <w:rsid w:val="00F04E36"/>
    <w:rsid w:val="00F04E78"/>
    <w:rsid w:val="00F05B96"/>
    <w:rsid w:val="00F0748E"/>
    <w:rsid w:val="00F07934"/>
    <w:rsid w:val="00F0794B"/>
    <w:rsid w:val="00F10036"/>
    <w:rsid w:val="00F10244"/>
    <w:rsid w:val="00F1036B"/>
    <w:rsid w:val="00F106F8"/>
    <w:rsid w:val="00F109DF"/>
    <w:rsid w:val="00F119B2"/>
    <w:rsid w:val="00F12F2C"/>
    <w:rsid w:val="00F13A49"/>
    <w:rsid w:val="00F1488F"/>
    <w:rsid w:val="00F149C0"/>
    <w:rsid w:val="00F149D0"/>
    <w:rsid w:val="00F15F5E"/>
    <w:rsid w:val="00F1625A"/>
    <w:rsid w:val="00F17456"/>
    <w:rsid w:val="00F2021A"/>
    <w:rsid w:val="00F20C80"/>
    <w:rsid w:val="00F20F44"/>
    <w:rsid w:val="00F21666"/>
    <w:rsid w:val="00F226CB"/>
    <w:rsid w:val="00F234AF"/>
    <w:rsid w:val="00F239C0"/>
    <w:rsid w:val="00F23D0F"/>
    <w:rsid w:val="00F23FCE"/>
    <w:rsid w:val="00F2420E"/>
    <w:rsid w:val="00F243D9"/>
    <w:rsid w:val="00F24EC1"/>
    <w:rsid w:val="00F24F9D"/>
    <w:rsid w:val="00F25516"/>
    <w:rsid w:val="00F2562A"/>
    <w:rsid w:val="00F25855"/>
    <w:rsid w:val="00F259E9"/>
    <w:rsid w:val="00F25E5B"/>
    <w:rsid w:val="00F25EA7"/>
    <w:rsid w:val="00F26327"/>
    <w:rsid w:val="00F266D8"/>
    <w:rsid w:val="00F26AD6"/>
    <w:rsid w:val="00F26BB5"/>
    <w:rsid w:val="00F26EA6"/>
    <w:rsid w:val="00F31195"/>
    <w:rsid w:val="00F312F1"/>
    <w:rsid w:val="00F314CC"/>
    <w:rsid w:val="00F315E2"/>
    <w:rsid w:val="00F31B54"/>
    <w:rsid w:val="00F31C87"/>
    <w:rsid w:val="00F31EF3"/>
    <w:rsid w:val="00F31F50"/>
    <w:rsid w:val="00F3274C"/>
    <w:rsid w:val="00F34287"/>
    <w:rsid w:val="00F34848"/>
    <w:rsid w:val="00F3566E"/>
    <w:rsid w:val="00F3569C"/>
    <w:rsid w:val="00F357CB"/>
    <w:rsid w:val="00F35FCD"/>
    <w:rsid w:val="00F36016"/>
    <w:rsid w:val="00F3602B"/>
    <w:rsid w:val="00F36505"/>
    <w:rsid w:val="00F3715D"/>
    <w:rsid w:val="00F3740B"/>
    <w:rsid w:val="00F37F46"/>
    <w:rsid w:val="00F40255"/>
    <w:rsid w:val="00F40AAB"/>
    <w:rsid w:val="00F40E16"/>
    <w:rsid w:val="00F40F29"/>
    <w:rsid w:val="00F417B5"/>
    <w:rsid w:val="00F423CF"/>
    <w:rsid w:val="00F42515"/>
    <w:rsid w:val="00F42AC7"/>
    <w:rsid w:val="00F43066"/>
    <w:rsid w:val="00F4363A"/>
    <w:rsid w:val="00F43A65"/>
    <w:rsid w:val="00F45ACE"/>
    <w:rsid w:val="00F4776D"/>
    <w:rsid w:val="00F47B60"/>
    <w:rsid w:val="00F47FB9"/>
    <w:rsid w:val="00F50074"/>
    <w:rsid w:val="00F50F9A"/>
    <w:rsid w:val="00F51D13"/>
    <w:rsid w:val="00F51EBB"/>
    <w:rsid w:val="00F5457E"/>
    <w:rsid w:val="00F54AAD"/>
    <w:rsid w:val="00F562E4"/>
    <w:rsid w:val="00F565D9"/>
    <w:rsid w:val="00F56AC3"/>
    <w:rsid w:val="00F575F7"/>
    <w:rsid w:val="00F60CA5"/>
    <w:rsid w:val="00F620E7"/>
    <w:rsid w:val="00F62224"/>
    <w:rsid w:val="00F62600"/>
    <w:rsid w:val="00F62ABD"/>
    <w:rsid w:val="00F62C16"/>
    <w:rsid w:val="00F632A0"/>
    <w:rsid w:val="00F633BB"/>
    <w:rsid w:val="00F63505"/>
    <w:rsid w:val="00F636A1"/>
    <w:rsid w:val="00F63718"/>
    <w:rsid w:val="00F64437"/>
    <w:rsid w:val="00F65558"/>
    <w:rsid w:val="00F6694D"/>
    <w:rsid w:val="00F66BA3"/>
    <w:rsid w:val="00F66DC6"/>
    <w:rsid w:val="00F66EB3"/>
    <w:rsid w:val="00F6713E"/>
    <w:rsid w:val="00F67339"/>
    <w:rsid w:val="00F6767D"/>
    <w:rsid w:val="00F67785"/>
    <w:rsid w:val="00F67BED"/>
    <w:rsid w:val="00F70714"/>
    <w:rsid w:val="00F70ECF"/>
    <w:rsid w:val="00F71092"/>
    <w:rsid w:val="00F711BC"/>
    <w:rsid w:val="00F712C6"/>
    <w:rsid w:val="00F71B64"/>
    <w:rsid w:val="00F71BA3"/>
    <w:rsid w:val="00F724BA"/>
    <w:rsid w:val="00F72AFD"/>
    <w:rsid w:val="00F72D40"/>
    <w:rsid w:val="00F72E0F"/>
    <w:rsid w:val="00F732FF"/>
    <w:rsid w:val="00F7348B"/>
    <w:rsid w:val="00F7421F"/>
    <w:rsid w:val="00F74CA6"/>
    <w:rsid w:val="00F75CA0"/>
    <w:rsid w:val="00F768C1"/>
    <w:rsid w:val="00F772BB"/>
    <w:rsid w:val="00F77453"/>
    <w:rsid w:val="00F80886"/>
    <w:rsid w:val="00F81226"/>
    <w:rsid w:val="00F816DC"/>
    <w:rsid w:val="00F82A03"/>
    <w:rsid w:val="00F831CE"/>
    <w:rsid w:val="00F838F1"/>
    <w:rsid w:val="00F84681"/>
    <w:rsid w:val="00F84F79"/>
    <w:rsid w:val="00F85DF6"/>
    <w:rsid w:val="00F86632"/>
    <w:rsid w:val="00F901CB"/>
    <w:rsid w:val="00F90E05"/>
    <w:rsid w:val="00F9185B"/>
    <w:rsid w:val="00F9271E"/>
    <w:rsid w:val="00F92777"/>
    <w:rsid w:val="00F944BE"/>
    <w:rsid w:val="00F958D3"/>
    <w:rsid w:val="00F95D71"/>
    <w:rsid w:val="00F96E3A"/>
    <w:rsid w:val="00F9745B"/>
    <w:rsid w:val="00F97D3C"/>
    <w:rsid w:val="00FA0003"/>
    <w:rsid w:val="00FA0C1F"/>
    <w:rsid w:val="00FA0D71"/>
    <w:rsid w:val="00FA1105"/>
    <w:rsid w:val="00FA2061"/>
    <w:rsid w:val="00FA26C4"/>
    <w:rsid w:val="00FA2A8D"/>
    <w:rsid w:val="00FA2B23"/>
    <w:rsid w:val="00FA38B5"/>
    <w:rsid w:val="00FA3974"/>
    <w:rsid w:val="00FA424D"/>
    <w:rsid w:val="00FA4EE4"/>
    <w:rsid w:val="00FA519B"/>
    <w:rsid w:val="00FA5347"/>
    <w:rsid w:val="00FA5537"/>
    <w:rsid w:val="00FA6770"/>
    <w:rsid w:val="00FA6945"/>
    <w:rsid w:val="00FA6A53"/>
    <w:rsid w:val="00FA6C99"/>
    <w:rsid w:val="00FA7D54"/>
    <w:rsid w:val="00FB00D6"/>
    <w:rsid w:val="00FB0215"/>
    <w:rsid w:val="00FB0BEA"/>
    <w:rsid w:val="00FB15BA"/>
    <w:rsid w:val="00FB2542"/>
    <w:rsid w:val="00FB31CF"/>
    <w:rsid w:val="00FB3472"/>
    <w:rsid w:val="00FB4951"/>
    <w:rsid w:val="00FB595C"/>
    <w:rsid w:val="00FB5E91"/>
    <w:rsid w:val="00FB606E"/>
    <w:rsid w:val="00FB609E"/>
    <w:rsid w:val="00FB6139"/>
    <w:rsid w:val="00FB768F"/>
    <w:rsid w:val="00FC0024"/>
    <w:rsid w:val="00FC04F3"/>
    <w:rsid w:val="00FC0C88"/>
    <w:rsid w:val="00FC0F81"/>
    <w:rsid w:val="00FC169B"/>
    <w:rsid w:val="00FC192F"/>
    <w:rsid w:val="00FC1F7B"/>
    <w:rsid w:val="00FC22DF"/>
    <w:rsid w:val="00FC288E"/>
    <w:rsid w:val="00FC4254"/>
    <w:rsid w:val="00FC4B1E"/>
    <w:rsid w:val="00FC532C"/>
    <w:rsid w:val="00FC56BA"/>
    <w:rsid w:val="00FC5A50"/>
    <w:rsid w:val="00FC5DCE"/>
    <w:rsid w:val="00FC68A0"/>
    <w:rsid w:val="00FC68E3"/>
    <w:rsid w:val="00FC6DD6"/>
    <w:rsid w:val="00FC7E21"/>
    <w:rsid w:val="00FC7F28"/>
    <w:rsid w:val="00FD03FB"/>
    <w:rsid w:val="00FD094E"/>
    <w:rsid w:val="00FD1400"/>
    <w:rsid w:val="00FD18B4"/>
    <w:rsid w:val="00FD18CE"/>
    <w:rsid w:val="00FD191D"/>
    <w:rsid w:val="00FD1AA0"/>
    <w:rsid w:val="00FD1ACA"/>
    <w:rsid w:val="00FD20DC"/>
    <w:rsid w:val="00FD26D0"/>
    <w:rsid w:val="00FD3570"/>
    <w:rsid w:val="00FD40AE"/>
    <w:rsid w:val="00FD49F1"/>
    <w:rsid w:val="00FD4EF9"/>
    <w:rsid w:val="00FD4F1D"/>
    <w:rsid w:val="00FD5841"/>
    <w:rsid w:val="00FD5A1B"/>
    <w:rsid w:val="00FD6BC8"/>
    <w:rsid w:val="00FD78EE"/>
    <w:rsid w:val="00FD7F18"/>
    <w:rsid w:val="00FE110A"/>
    <w:rsid w:val="00FE1A9D"/>
    <w:rsid w:val="00FE1AC5"/>
    <w:rsid w:val="00FE1FE9"/>
    <w:rsid w:val="00FE3956"/>
    <w:rsid w:val="00FE3D20"/>
    <w:rsid w:val="00FE4062"/>
    <w:rsid w:val="00FE494A"/>
    <w:rsid w:val="00FE533F"/>
    <w:rsid w:val="00FE56A5"/>
    <w:rsid w:val="00FE5E91"/>
    <w:rsid w:val="00FE60CF"/>
    <w:rsid w:val="00FE66F0"/>
    <w:rsid w:val="00FE7223"/>
    <w:rsid w:val="00FE7703"/>
    <w:rsid w:val="00FF02C7"/>
    <w:rsid w:val="00FF0B00"/>
    <w:rsid w:val="00FF211B"/>
    <w:rsid w:val="00FF2B08"/>
    <w:rsid w:val="00FF2ECE"/>
    <w:rsid w:val="00FF3071"/>
    <w:rsid w:val="00FF4885"/>
    <w:rsid w:val="00FF5067"/>
    <w:rsid w:val="00FF535F"/>
    <w:rsid w:val="00FF5361"/>
    <w:rsid w:val="00FF6745"/>
    <w:rsid w:val="00FF6B6B"/>
    <w:rsid w:val="00FF73D6"/>
    <w:rsid w:val="00FF76F6"/>
    <w:rsid w:val="00FF7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7BC9E"/>
  <w15:docId w15:val="{6A4843E6-BABE-494D-9D3E-24DEE3BA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E71"/>
    <w:rPr>
      <w:sz w:val="24"/>
      <w:szCs w:val="24"/>
      <w:lang w:val="en-GB" w:eastAsia="en-GB"/>
    </w:rPr>
  </w:style>
  <w:style w:type="paragraph" w:styleId="Heading2">
    <w:name w:val="heading 2"/>
    <w:basedOn w:val="Normal"/>
    <w:link w:val="Heading2Char"/>
    <w:uiPriority w:val="9"/>
    <w:qFormat/>
    <w:rsid w:val="00B52C3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
    <w:name w:val="Char1 Char Char Char Char Char Char"/>
    <w:basedOn w:val="Normal"/>
    <w:rsid w:val="00E73E71"/>
    <w:pPr>
      <w:spacing w:after="160" w:line="240" w:lineRule="exact"/>
    </w:pPr>
    <w:rPr>
      <w:rFonts w:ascii="Verdana" w:hAnsi="Verdana"/>
      <w:sz w:val="20"/>
      <w:szCs w:val="20"/>
      <w:lang w:val="en-US" w:eastAsia="en-US"/>
    </w:rPr>
  </w:style>
  <w:style w:type="table" w:styleId="TableGrid">
    <w:name w:val="Table Grid"/>
    <w:basedOn w:val="TableNormal"/>
    <w:rsid w:val="0043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1B6B"/>
    <w:pPr>
      <w:autoSpaceDE w:val="0"/>
      <w:autoSpaceDN w:val="0"/>
      <w:adjustRightInd w:val="0"/>
    </w:pPr>
    <w:rPr>
      <w:rFonts w:ascii="Arial" w:hAnsi="Arial" w:cs="Arial"/>
      <w:color w:val="000000"/>
      <w:sz w:val="24"/>
      <w:szCs w:val="24"/>
      <w:lang w:val="en-GB" w:eastAsia="en-GB"/>
    </w:rPr>
  </w:style>
  <w:style w:type="character" w:styleId="Hyperlink">
    <w:name w:val="Hyperlink"/>
    <w:basedOn w:val="DefaultParagraphFont"/>
    <w:uiPriority w:val="99"/>
    <w:rsid w:val="00DA5E74"/>
    <w:rPr>
      <w:color w:val="0000FF"/>
      <w:u w:val="single"/>
    </w:rPr>
  </w:style>
  <w:style w:type="character" w:customStyle="1" w:styleId="emailstyle17">
    <w:name w:val="emailstyle17"/>
    <w:basedOn w:val="DefaultParagraphFont"/>
    <w:semiHidden/>
    <w:rsid w:val="00445750"/>
    <w:rPr>
      <w:rFonts w:ascii="Arial" w:hAnsi="Arial" w:cs="Arial" w:hint="default"/>
      <w:color w:val="auto"/>
      <w:sz w:val="20"/>
      <w:szCs w:val="20"/>
    </w:rPr>
  </w:style>
  <w:style w:type="paragraph" w:styleId="Header">
    <w:name w:val="header"/>
    <w:basedOn w:val="Normal"/>
    <w:link w:val="HeaderChar"/>
    <w:uiPriority w:val="99"/>
    <w:rsid w:val="00870EB1"/>
    <w:pPr>
      <w:tabs>
        <w:tab w:val="center" w:pos="4153"/>
        <w:tab w:val="right" w:pos="8306"/>
      </w:tabs>
    </w:pPr>
  </w:style>
  <w:style w:type="paragraph" w:styleId="Footer">
    <w:name w:val="footer"/>
    <w:basedOn w:val="Normal"/>
    <w:link w:val="FooterChar"/>
    <w:uiPriority w:val="99"/>
    <w:rsid w:val="00870EB1"/>
    <w:pPr>
      <w:tabs>
        <w:tab w:val="center" w:pos="4153"/>
        <w:tab w:val="right" w:pos="8306"/>
      </w:tabs>
    </w:pPr>
  </w:style>
  <w:style w:type="character" w:styleId="PageNumber">
    <w:name w:val="page number"/>
    <w:basedOn w:val="DefaultParagraphFont"/>
    <w:rsid w:val="00870EB1"/>
  </w:style>
  <w:style w:type="paragraph" w:styleId="FootnoteText">
    <w:name w:val="footnote text"/>
    <w:basedOn w:val="Normal"/>
    <w:semiHidden/>
    <w:rsid w:val="004C0482"/>
    <w:rPr>
      <w:sz w:val="20"/>
      <w:szCs w:val="20"/>
    </w:rPr>
  </w:style>
  <w:style w:type="character" w:styleId="FootnoteReference">
    <w:name w:val="footnote reference"/>
    <w:basedOn w:val="DefaultParagraphFont"/>
    <w:semiHidden/>
    <w:rsid w:val="004C0482"/>
    <w:rPr>
      <w:vertAlign w:val="superscript"/>
    </w:rPr>
  </w:style>
  <w:style w:type="character" w:styleId="CommentReference">
    <w:name w:val="annotation reference"/>
    <w:basedOn w:val="DefaultParagraphFont"/>
    <w:semiHidden/>
    <w:rsid w:val="003F321A"/>
    <w:rPr>
      <w:sz w:val="16"/>
      <w:szCs w:val="16"/>
    </w:rPr>
  </w:style>
  <w:style w:type="paragraph" w:styleId="CommentText">
    <w:name w:val="annotation text"/>
    <w:basedOn w:val="Normal"/>
    <w:semiHidden/>
    <w:rsid w:val="003F321A"/>
    <w:rPr>
      <w:sz w:val="20"/>
      <w:szCs w:val="20"/>
    </w:rPr>
  </w:style>
  <w:style w:type="paragraph" w:styleId="CommentSubject">
    <w:name w:val="annotation subject"/>
    <w:basedOn w:val="CommentText"/>
    <w:next w:val="CommentText"/>
    <w:semiHidden/>
    <w:rsid w:val="003F321A"/>
    <w:rPr>
      <w:b/>
      <w:bCs/>
    </w:rPr>
  </w:style>
  <w:style w:type="paragraph" w:styleId="BalloonText">
    <w:name w:val="Balloon Text"/>
    <w:basedOn w:val="Normal"/>
    <w:semiHidden/>
    <w:rsid w:val="003F321A"/>
    <w:rPr>
      <w:rFonts w:ascii="Tahoma" w:hAnsi="Tahoma" w:cs="Tahoma"/>
      <w:sz w:val="16"/>
      <w:szCs w:val="16"/>
    </w:rPr>
  </w:style>
  <w:style w:type="paragraph" w:styleId="ListParagraph">
    <w:name w:val="List Paragraph"/>
    <w:basedOn w:val="Normal"/>
    <w:uiPriority w:val="34"/>
    <w:qFormat/>
    <w:rsid w:val="00E865F6"/>
    <w:pPr>
      <w:ind w:left="720"/>
    </w:pPr>
  </w:style>
  <w:style w:type="paragraph" w:customStyle="1" w:styleId="ta-response-item-content">
    <w:name w:val="ta-response-item-content"/>
    <w:basedOn w:val="Normal"/>
    <w:rsid w:val="00C656EF"/>
  </w:style>
  <w:style w:type="paragraph" w:styleId="NormalWeb">
    <w:name w:val="Normal (Web)"/>
    <w:basedOn w:val="Normal"/>
    <w:uiPriority w:val="99"/>
    <w:unhideWhenUsed/>
    <w:rsid w:val="00C91905"/>
    <w:pPr>
      <w:spacing w:before="100" w:beforeAutospacing="1" w:after="100" w:afterAutospacing="1"/>
    </w:pPr>
  </w:style>
  <w:style w:type="character" w:customStyle="1" w:styleId="FooterChar">
    <w:name w:val="Footer Char"/>
    <w:basedOn w:val="DefaultParagraphFont"/>
    <w:link w:val="Footer"/>
    <w:uiPriority w:val="99"/>
    <w:rsid w:val="00571CDD"/>
    <w:rPr>
      <w:sz w:val="24"/>
      <w:szCs w:val="24"/>
      <w:lang w:val="en-GB" w:eastAsia="en-GB"/>
    </w:rPr>
  </w:style>
  <w:style w:type="character" w:customStyle="1" w:styleId="HeaderChar">
    <w:name w:val="Header Char"/>
    <w:basedOn w:val="DefaultParagraphFont"/>
    <w:link w:val="Header"/>
    <w:uiPriority w:val="99"/>
    <w:rsid w:val="00BF23C0"/>
    <w:rPr>
      <w:sz w:val="24"/>
      <w:szCs w:val="24"/>
      <w:lang w:val="en-GB" w:eastAsia="en-GB"/>
    </w:rPr>
  </w:style>
  <w:style w:type="character" w:customStyle="1" w:styleId="Heading2Char">
    <w:name w:val="Heading 2 Char"/>
    <w:basedOn w:val="DefaultParagraphFont"/>
    <w:link w:val="Heading2"/>
    <w:uiPriority w:val="9"/>
    <w:rsid w:val="00B52C38"/>
    <w:rPr>
      <w:b/>
      <w:bCs/>
      <w:sz w:val="36"/>
      <w:szCs w:val="36"/>
      <w:lang w:val="en-GB" w:eastAsia="en-GB"/>
    </w:rPr>
  </w:style>
  <w:style w:type="character" w:customStyle="1" w:styleId="legds2">
    <w:name w:val="legds2"/>
    <w:basedOn w:val="DefaultParagraphFont"/>
    <w:rsid w:val="00DA0631"/>
    <w:rPr>
      <w:vanish w:val="0"/>
      <w:webHidden w:val="0"/>
      <w:specVanish w:val="0"/>
    </w:rPr>
  </w:style>
  <w:style w:type="paragraph" w:styleId="PlainText">
    <w:name w:val="Plain Text"/>
    <w:basedOn w:val="Normal"/>
    <w:link w:val="PlainTextChar"/>
    <w:uiPriority w:val="99"/>
    <w:rsid w:val="00206F6A"/>
    <w:pPr>
      <w:spacing w:before="100" w:beforeAutospacing="1" w:after="100" w:afterAutospacing="1"/>
    </w:pPr>
  </w:style>
  <w:style w:type="character" w:customStyle="1" w:styleId="PlainTextChar">
    <w:name w:val="Plain Text Char"/>
    <w:basedOn w:val="DefaultParagraphFont"/>
    <w:link w:val="PlainText"/>
    <w:uiPriority w:val="99"/>
    <w:rsid w:val="00206F6A"/>
    <w:rPr>
      <w:sz w:val="24"/>
      <w:szCs w:val="24"/>
      <w:lang w:val="en-GB" w:eastAsia="en-GB"/>
    </w:rPr>
  </w:style>
  <w:style w:type="paragraph" w:styleId="Revision">
    <w:name w:val="Revision"/>
    <w:hidden/>
    <w:uiPriority w:val="99"/>
    <w:semiHidden/>
    <w:rsid w:val="00CD0C64"/>
    <w:rPr>
      <w:sz w:val="24"/>
      <w:szCs w:val="24"/>
      <w:lang w:val="en-GB" w:eastAsia="en-GB"/>
    </w:rPr>
  </w:style>
  <w:style w:type="character" w:styleId="UnresolvedMention">
    <w:name w:val="Unresolved Mention"/>
    <w:basedOn w:val="DefaultParagraphFont"/>
    <w:uiPriority w:val="99"/>
    <w:semiHidden/>
    <w:unhideWhenUsed/>
    <w:rsid w:val="00CD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3420">
      <w:bodyDiv w:val="1"/>
      <w:marLeft w:val="0"/>
      <w:marRight w:val="0"/>
      <w:marTop w:val="0"/>
      <w:marBottom w:val="0"/>
      <w:divBdr>
        <w:top w:val="none" w:sz="0" w:space="0" w:color="auto"/>
        <w:left w:val="none" w:sz="0" w:space="0" w:color="auto"/>
        <w:bottom w:val="none" w:sz="0" w:space="0" w:color="auto"/>
        <w:right w:val="none" w:sz="0" w:space="0" w:color="auto"/>
      </w:divBdr>
    </w:div>
    <w:div w:id="243690864">
      <w:bodyDiv w:val="1"/>
      <w:marLeft w:val="0"/>
      <w:marRight w:val="0"/>
      <w:marTop w:val="0"/>
      <w:marBottom w:val="0"/>
      <w:divBdr>
        <w:top w:val="none" w:sz="0" w:space="0" w:color="auto"/>
        <w:left w:val="none" w:sz="0" w:space="0" w:color="auto"/>
        <w:bottom w:val="none" w:sz="0" w:space="0" w:color="auto"/>
        <w:right w:val="none" w:sz="0" w:space="0" w:color="auto"/>
      </w:divBdr>
    </w:div>
    <w:div w:id="687295618">
      <w:bodyDiv w:val="1"/>
      <w:marLeft w:val="0"/>
      <w:marRight w:val="0"/>
      <w:marTop w:val="0"/>
      <w:marBottom w:val="0"/>
      <w:divBdr>
        <w:top w:val="none" w:sz="0" w:space="0" w:color="auto"/>
        <w:left w:val="none" w:sz="0" w:space="0" w:color="auto"/>
        <w:bottom w:val="none" w:sz="0" w:space="0" w:color="auto"/>
        <w:right w:val="none" w:sz="0" w:space="0" w:color="auto"/>
      </w:divBdr>
      <w:divsChild>
        <w:div w:id="229191157">
          <w:marLeft w:val="0"/>
          <w:marRight w:val="0"/>
          <w:marTop w:val="0"/>
          <w:marBottom w:val="0"/>
          <w:divBdr>
            <w:top w:val="none" w:sz="0" w:space="0" w:color="auto"/>
            <w:left w:val="none" w:sz="0" w:space="0" w:color="auto"/>
            <w:bottom w:val="none" w:sz="0" w:space="0" w:color="auto"/>
            <w:right w:val="none" w:sz="0" w:space="0" w:color="auto"/>
          </w:divBdr>
        </w:div>
        <w:div w:id="913441158">
          <w:marLeft w:val="0"/>
          <w:marRight w:val="0"/>
          <w:marTop w:val="0"/>
          <w:marBottom w:val="0"/>
          <w:divBdr>
            <w:top w:val="none" w:sz="0" w:space="0" w:color="auto"/>
            <w:left w:val="none" w:sz="0" w:space="0" w:color="auto"/>
            <w:bottom w:val="none" w:sz="0" w:space="0" w:color="auto"/>
            <w:right w:val="none" w:sz="0" w:space="0" w:color="auto"/>
          </w:divBdr>
        </w:div>
        <w:div w:id="1999574224">
          <w:marLeft w:val="0"/>
          <w:marRight w:val="0"/>
          <w:marTop w:val="0"/>
          <w:marBottom w:val="0"/>
          <w:divBdr>
            <w:top w:val="none" w:sz="0" w:space="0" w:color="auto"/>
            <w:left w:val="none" w:sz="0" w:space="0" w:color="auto"/>
            <w:bottom w:val="none" w:sz="0" w:space="0" w:color="auto"/>
            <w:right w:val="none" w:sz="0" w:space="0" w:color="auto"/>
          </w:divBdr>
        </w:div>
        <w:div w:id="18823360">
          <w:marLeft w:val="0"/>
          <w:marRight w:val="0"/>
          <w:marTop w:val="0"/>
          <w:marBottom w:val="0"/>
          <w:divBdr>
            <w:top w:val="none" w:sz="0" w:space="0" w:color="auto"/>
            <w:left w:val="none" w:sz="0" w:space="0" w:color="auto"/>
            <w:bottom w:val="none" w:sz="0" w:space="0" w:color="auto"/>
            <w:right w:val="none" w:sz="0" w:space="0" w:color="auto"/>
          </w:divBdr>
        </w:div>
        <w:div w:id="822350503">
          <w:marLeft w:val="0"/>
          <w:marRight w:val="0"/>
          <w:marTop w:val="0"/>
          <w:marBottom w:val="0"/>
          <w:divBdr>
            <w:top w:val="none" w:sz="0" w:space="0" w:color="auto"/>
            <w:left w:val="none" w:sz="0" w:space="0" w:color="auto"/>
            <w:bottom w:val="none" w:sz="0" w:space="0" w:color="auto"/>
            <w:right w:val="none" w:sz="0" w:space="0" w:color="auto"/>
          </w:divBdr>
        </w:div>
        <w:div w:id="601449527">
          <w:marLeft w:val="0"/>
          <w:marRight w:val="0"/>
          <w:marTop w:val="0"/>
          <w:marBottom w:val="0"/>
          <w:divBdr>
            <w:top w:val="none" w:sz="0" w:space="0" w:color="auto"/>
            <w:left w:val="none" w:sz="0" w:space="0" w:color="auto"/>
            <w:bottom w:val="none" w:sz="0" w:space="0" w:color="auto"/>
            <w:right w:val="none" w:sz="0" w:space="0" w:color="auto"/>
          </w:divBdr>
        </w:div>
        <w:div w:id="767431622">
          <w:marLeft w:val="0"/>
          <w:marRight w:val="0"/>
          <w:marTop w:val="0"/>
          <w:marBottom w:val="0"/>
          <w:divBdr>
            <w:top w:val="none" w:sz="0" w:space="0" w:color="auto"/>
            <w:left w:val="none" w:sz="0" w:space="0" w:color="auto"/>
            <w:bottom w:val="none" w:sz="0" w:space="0" w:color="auto"/>
            <w:right w:val="none" w:sz="0" w:space="0" w:color="auto"/>
          </w:divBdr>
        </w:div>
        <w:div w:id="524057624">
          <w:marLeft w:val="0"/>
          <w:marRight w:val="0"/>
          <w:marTop w:val="0"/>
          <w:marBottom w:val="0"/>
          <w:divBdr>
            <w:top w:val="none" w:sz="0" w:space="0" w:color="auto"/>
            <w:left w:val="none" w:sz="0" w:space="0" w:color="auto"/>
            <w:bottom w:val="none" w:sz="0" w:space="0" w:color="auto"/>
            <w:right w:val="none" w:sz="0" w:space="0" w:color="auto"/>
          </w:divBdr>
        </w:div>
        <w:div w:id="1339700383">
          <w:marLeft w:val="0"/>
          <w:marRight w:val="0"/>
          <w:marTop w:val="0"/>
          <w:marBottom w:val="0"/>
          <w:divBdr>
            <w:top w:val="none" w:sz="0" w:space="0" w:color="auto"/>
            <w:left w:val="none" w:sz="0" w:space="0" w:color="auto"/>
            <w:bottom w:val="none" w:sz="0" w:space="0" w:color="auto"/>
            <w:right w:val="none" w:sz="0" w:space="0" w:color="auto"/>
          </w:divBdr>
        </w:div>
        <w:div w:id="1642732314">
          <w:marLeft w:val="0"/>
          <w:marRight w:val="0"/>
          <w:marTop w:val="0"/>
          <w:marBottom w:val="0"/>
          <w:divBdr>
            <w:top w:val="none" w:sz="0" w:space="0" w:color="auto"/>
            <w:left w:val="none" w:sz="0" w:space="0" w:color="auto"/>
            <w:bottom w:val="none" w:sz="0" w:space="0" w:color="auto"/>
            <w:right w:val="none" w:sz="0" w:space="0" w:color="auto"/>
          </w:divBdr>
        </w:div>
        <w:div w:id="1197549800">
          <w:marLeft w:val="0"/>
          <w:marRight w:val="0"/>
          <w:marTop w:val="0"/>
          <w:marBottom w:val="0"/>
          <w:divBdr>
            <w:top w:val="none" w:sz="0" w:space="0" w:color="auto"/>
            <w:left w:val="none" w:sz="0" w:space="0" w:color="auto"/>
            <w:bottom w:val="none" w:sz="0" w:space="0" w:color="auto"/>
            <w:right w:val="none" w:sz="0" w:space="0" w:color="auto"/>
          </w:divBdr>
        </w:div>
        <w:div w:id="1420787657">
          <w:marLeft w:val="0"/>
          <w:marRight w:val="0"/>
          <w:marTop w:val="0"/>
          <w:marBottom w:val="0"/>
          <w:divBdr>
            <w:top w:val="none" w:sz="0" w:space="0" w:color="auto"/>
            <w:left w:val="none" w:sz="0" w:space="0" w:color="auto"/>
            <w:bottom w:val="none" w:sz="0" w:space="0" w:color="auto"/>
            <w:right w:val="none" w:sz="0" w:space="0" w:color="auto"/>
          </w:divBdr>
        </w:div>
        <w:div w:id="1804425463">
          <w:marLeft w:val="0"/>
          <w:marRight w:val="0"/>
          <w:marTop w:val="0"/>
          <w:marBottom w:val="0"/>
          <w:divBdr>
            <w:top w:val="none" w:sz="0" w:space="0" w:color="auto"/>
            <w:left w:val="none" w:sz="0" w:space="0" w:color="auto"/>
            <w:bottom w:val="none" w:sz="0" w:space="0" w:color="auto"/>
            <w:right w:val="none" w:sz="0" w:space="0" w:color="auto"/>
          </w:divBdr>
        </w:div>
        <w:div w:id="348528753">
          <w:marLeft w:val="0"/>
          <w:marRight w:val="0"/>
          <w:marTop w:val="0"/>
          <w:marBottom w:val="0"/>
          <w:divBdr>
            <w:top w:val="none" w:sz="0" w:space="0" w:color="auto"/>
            <w:left w:val="none" w:sz="0" w:space="0" w:color="auto"/>
            <w:bottom w:val="none" w:sz="0" w:space="0" w:color="auto"/>
            <w:right w:val="none" w:sz="0" w:space="0" w:color="auto"/>
          </w:divBdr>
        </w:div>
        <w:div w:id="583343882">
          <w:marLeft w:val="0"/>
          <w:marRight w:val="0"/>
          <w:marTop w:val="0"/>
          <w:marBottom w:val="0"/>
          <w:divBdr>
            <w:top w:val="none" w:sz="0" w:space="0" w:color="auto"/>
            <w:left w:val="none" w:sz="0" w:space="0" w:color="auto"/>
            <w:bottom w:val="none" w:sz="0" w:space="0" w:color="auto"/>
            <w:right w:val="none" w:sz="0" w:space="0" w:color="auto"/>
          </w:divBdr>
        </w:div>
        <w:div w:id="1196845178">
          <w:marLeft w:val="0"/>
          <w:marRight w:val="0"/>
          <w:marTop w:val="0"/>
          <w:marBottom w:val="0"/>
          <w:divBdr>
            <w:top w:val="none" w:sz="0" w:space="0" w:color="auto"/>
            <w:left w:val="none" w:sz="0" w:space="0" w:color="auto"/>
            <w:bottom w:val="none" w:sz="0" w:space="0" w:color="auto"/>
            <w:right w:val="none" w:sz="0" w:space="0" w:color="auto"/>
          </w:divBdr>
        </w:div>
        <w:div w:id="810710823">
          <w:marLeft w:val="0"/>
          <w:marRight w:val="0"/>
          <w:marTop w:val="0"/>
          <w:marBottom w:val="0"/>
          <w:divBdr>
            <w:top w:val="none" w:sz="0" w:space="0" w:color="auto"/>
            <w:left w:val="none" w:sz="0" w:space="0" w:color="auto"/>
            <w:bottom w:val="none" w:sz="0" w:space="0" w:color="auto"/>
            <w:right w:val="none" w:sz="0" w:space="0" w:color="auto"/>
          </w:divBdr>
        </w:div>
        <w:div w:id="1086262799">
          <w:marLeft w:val="0"/>
          <w:marRight w:val="0"/>
          <w:marTop w:val="0"/>
          <w:marBottom w:val="0"/>
          <w:divBdr>
            <w:top w:val="none" w:sz="0" w:space="0" w:color="auto"/>
            <w:left w:val="none" w:sz="0" w:space="0" w:color="auto"/>
            <w:bottom w:val="none" w:sz="0" w:space="0" w:color="auto"/>
            <w:right w:val="none" w:sz="0" w:space="0" w:color="auto"/>
          </w:divBdr>
        </w:div>
        <w:div w:id="1459185248">
          <w:marLeft w:val="0"/>
          <w:marRight w:val="0"/>
          <w:marTop w:val="0"/>
          <w:marBottom w:val="0"/>
          <w:divBdr>
            <w:top w:val="none" w:sz="0" w:space="0" w:color="auto"/>
            <w:left w:val="none" w:sz="0" w:space="0" w:color="auto"/>
            <w:bottom w:val="none" w:sz="0" w:space="0" w:color="auto"/>
            <w:right w:val="none" w:sz="0" w:space="0" w:color="auto"/>
          </w:divBdr>
        </w:div>
        <w:div w:id="443812857">
          <w:marLeft w:val="0"/>
          <w:marRight w:val="0"/>
          <w:marTop w:val="0"/>
          <w:marBottom w:val="0"/>
          <w:divBdr>
            <w:top w:val="none" w:sz="0" w:space="0" w:color="auto"/>
            <w:left w:val="none" w:sz="0" w:space="0" w:color="auto"/>
            <w:bottom w:val="none" w:sz="0" w:space="0" w:color="auto"/>
            <w:right w:val="none" w:sz="0" w:space="0" w:color="auto"/>
          </w:divBdr>
        </w:div>
        <w:div w:id="1282609852">
          <w:marLeft w:val="0"/>
          <w:marRight w:val="0"/>
          <w:marTop w:val="0"/>
          <w:marBottom w:val="0"/>
          <w:divBdr>
            <w:top w:val="none" w:sz="0" w:space="0" w:color="auto"/>
            <w:left w:val="none" w:sz="0" w:space="0" w:color="auto"/>
            <w:bottom w:val="none" w:sz="0" w:space="0" w:color="auto"/>
            <w:right w:val="none" w:sz="0" w:space="0" w:color="auto"/>
          </w:divBdr>
        </w:div>
        <w:div w:id="937711377">
          <w:marLeft w:val="0"/>
          <w:marRight w:val="0"/>
          <w:marTop w:val="0"/>
          <w:marBottom w:val="0"/>
          <w:divBdr>
            <w:top w:val="none" w:sz="0" w:space="0" w:color="auto"/>
            <w:left w:val="none" w:sz="0" w:space="0" w:color="auto"/>
            <w:bottom w:val="none" w:sz="0" w:space="0" w:color="auto"/>
            <w:right w:val="none" w:sz="0" w:space="0" w:color="auto"/>
          </w:divBdr>
        </w:div>
        <w:div w:id="1304847369">
          <w:marLeft w:val="0"/>
          <w:marRight w:val="0"/>
          <w:marTop w:val="0"/>
          <w:marBottom w:val="0"/>
          <w:divBdr>
            <w:top w:val="none" w:sz="0" w:space="0" w:color="auto"/>
            <w:left w:val="none" w:sz="0" w:space="0" w:color="auto"/>
            <w:bottom w:val="none" w:sz="0" w:space="0" w:color="auto"/>
            <w:right w:val="none" w:sz="0" w:space="0" w:color="auto"/>
          </w:divBdr>
        </w:div>
        <w:div w:id="1260674505">
          <w:marLeft w:val="0"/>
          <w:marRight w:val="0"/>
          <w:marTop w:val="0"/>
          <w:marBottom w:val="0"/>
          <w:divBdr>
            <w:top w:val="none" w:sz="0" w:space="0" w:color="auto"/>
            <w:left w:val="none" w:sz="0" w:space="0" w:color="auto"/>
            <w:bottom w:val="none" w:sz="0" w:space="0" w:color="auto"/>
            <w:right w:val="none" w:sz="0" w:space="0" w:color="auto"/>
          </w:divBdr>
        </w:div>
        <w:div w:id="12919975">
          <w:marLeft w:val="0"/>
          <w:marRight w:val="0"/>
          <w:marTop w:val="0"/>
          <w:marBottom w:val="0"/>
          <w:divBdr>
            <w:top w:val="none" w:sz="0" w:space="0" w:color="auto"/>
            <w:left w:val="none" w:sz="0" w:space="0" w:color="auto"/>
            <w:bottom w:val="none" w:sz="0" w:space="0" w:color="auto"/>
            <w:right w:val="none" w:sz="0" w:space="0" w:color="auto"/>
          </w:divBdr>
        </w:div>
      </w:divsChild>
    </w:div>
    <w:div w:id="834995479">
      <w:bodyDiv w:val="1"/>
      <w:marLeft w:val="0"/>
      <w:marRight w:val="0"/>
      <w:marTop w:val="0"/>
      <w:marBottom w:val="0"/>
      <w:divBdr>
        <w:top w:val="none" w:sz="0" w:space="0" w:color="auto"/>
        <w:left w:val="none" w:sz="0" w:space="0" w:color="auto"/>
        <w:bottom w:val="none" w:sz="0" w:space="0" w:color="auto"/>
        <w:right w:val="none" w:sz="0" w:space="0" w:color="auto"/>
      </w:divBdr>
    </w:div>
    <w:div w:id="1136026085">
      <w:bodyDiv w:val="1"/>
      <w:marLeft w:val="0"/>
      <w:marRight w:val="0"/>
      <w:marTop w:val="0"/>
      <w:marBottom w:val="0"/>
      <w:divBdr>
        <w:top w:val="none" w:sz="0" w:space="0" w:color="auto"/>
        <w:left w:val="none" w:sz="0" w:space="0" w:color="auto"/>
        <w:bottom w:val="none" w:sz="0" w:space="0" w:color="auto"/>
        <w:right w:val="none" w:sz="0" w:space="0" w:color="auto"/>
      </w:divBdr>
    </w:div>
    <w:div w:id="127755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i@ico.gsi.gov.uk" TargetMode="External"/><Relationship Id="rId18" Type="http://schemas.openxmlformats.org/officeDocument/2006/relationships/hyperlink" Target="http://www.nijac.gov.uk" TargetMode="External"/><Relationship Id="rId26" Type="http://schemas.openxmlformats.org/officeDocument/2006/relationships/hyperlink" Target="http://www.nijac.gov.uk" TargetMode="External"/><Relationship Id="rId3" Type="http://schemas.openxmlformats.org/officeDocument/2006/relationships/styles" Target="styles.xml"/><Relationship Id="rId21" Type="http://schemas.openxmlformats.org/officeDocument/2006/relationships/hyperlink" Target="http://www.nijac.gov.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inance@nijac.gov.uk" TargetMode="External"/><Relationship Id="rId17" Type="http://schemas.openxmlformats.org/officeDocument/2006/relationships/hyperlink" Target="http://www.nijac.gov.uk" TargetMode="External"/><Relationship Id="rId25" Type="http://schemas.openxmlformats.org/officeDocument/2006/relationships/hyperlink" Target="http://www.nijac.gov.uk"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ijac.gov.uk" TargetMode="External"/><Relationship Id="rId20" Type="http://schemas.openxmlformats.org/officeDocument/2006/relationships/hyperlink" Target="http://www.nijac.gov.uk" TargetMode="External"/><Relationship Id="rId29" Type="http://schemas.openxmlformats.org/officeDocument/2006/relationships/hyperlink" Target="http://www.nija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nijac.gov.uk" TargetMode="External"/><Relationship Id="rId24" Type="http://schemas.openxmlformats.org/officeDocument/2006/relationships/hyperlink" Target="http://www.nijac.gov.u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ijac.gov.uk" TargetMode="External"/><Relationship Id="rId23" Type="http://schemas.openxmlformats.org/officeDocument/2006/relationships/hyperlink" Target="http://www.nijac.gov.uk" TargetMode="External"/><Relationship Id="rId28" Type="http://schemas.openxmlformats.org/officeDocument/2006/relationships/hyperlink" Target="http://www.nijac.gov.uk" TargetMode="External"/><Relationship Id="rId10" Type="http://schemas.openxmlformats.org/officeDocument/2006/relationships/hyperlink" Target="https://ico.org.uk/media/for-organisations/documents/1153/model-publication-scheme.pdf" TargetMode="External"/><Relationship Id="rId19" Type="http://schemas.openxmlformats.org/officeDocument/2006/relationships/hyperlink" Target="http://www.nijac.gov.u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media/for-organisations/documents/1153/model-publication-scheme.pdf" TargetMode="External"/><Relationship Id="rId14" Type="http://schemas.openxmlformats.org/officeDocument/2006/relationships/hyperlink" Target="http://www.nijac.gov.uk" TargetMode="External"/><Relationship Id="rId22" Type="http://schemas.openxmlformats.org/officeDocument/2006/relationships/hyperlink" Target="http://www.nijac.gov.uk" TargetMode="External"/><Relationship Id="rId27" Type="http://schemas.openxmlformats.org/officeDocument/2006/relationships/hyperlink" Target="http://www.nijac.gov.uk" TargetMode="External"/><Relationship Id="rId30" Type="http://schemas.openxmlformats.org/officeDocument/2006/relationships/hyperlink" Target="http://www.nijac.gov.uk"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9B036-9F27-4C76-9B8F-27AF6614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19</Pages>
  <Words>3228</Words>
  <Characters>18795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Scheme: Deputy Statutory Officer</vt:lpstr>
    </vt:vector>
  </TitlesOfParts>
  <Company>IT Assist</Company>
  <LinksUpToDate>false</LinksUpToDate>
  <CharactersWithSpaces>21980</CharactersWithSpaces>
  <SharedDoc>false</SharedDoc>
  <HLinks>
    <vt:vector size="6" baseType="variant">
      <vt:variant>
        <vt:i4>458844</vt:i4>
      </vt:variant>
      <vt:variant>
        <vt:i4>0</vt:i4>
      </vt:variant>
      <vt:variant>
        <vt:i4>0</vt:i4>
      </vt:variant>
      <vt:variant>
        <vt:i4>5</vt:i4>
      </vt:variant>
      <vt:variant>
        <vt:lpwstr>http://www.nijac.gov.uk/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Deputy Statutory Officer</dc:title>
  <dc:creator>jacwstew01</dc:creator>
  <cp:lastModifiedBy>Matchett, April</cp:lastModifiedBy>
  <cp:revision>9</cp:revision>
  <cp:lastPrinted>2018-05-25T14:08:00Z</cp:lastPrinted>
  <dcterms:created xsi:type="dcterms:W3CDTF">2018-11-07T10:13:00Z</dcterms:created>
  <dcterms:modified xsi:type="dcterms:W3CDTF">2024-09-13T08:40:00Z</dcterms:modified>
</cp:coreProperties>
</file>